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0D7B9E" w:rsidRPr="003F1820" w:rsidTr="006C24C1">
        <w:trPr>
          <w:trHeight w:hRule="exact" w:val="3259"/>
        </w:trPr>
        <w:tc>
          <w:tcPr>
            <w:tcW w:w="9722" w:type="dxa"/>
          </w:tcPr>
          <w:p w:rsidR="000D7B9E" w:rsidRPr="003F1820" w:rsidRDefault="006C19FD" w:rsidP="000D7B9E">
            <w:pPr>
              <w:rPr>
                <w:rFonts w:eastAsia="Arial" w:cs="Times New Roman"/>
                <w:sz w:val="14"/>
                <w:szCs w:val="14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4"/>
                <w:szCs w:val="14"/>
                <w:lang w:val="de-DE" w:eastAsia="de-DE"/>
              </w:rPr>
              <w:drawing>
                <wp:inline distT="0" distB="0" distL="0" distR="0">
                  <wp:extent cx="6174105" cy="2069465"/>
                  <wp:effectExtent l="0" t="0" r="0" b="698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avac Jiri-1268x425p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4105" cy="2069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3F1820" w:rsidTr="006C24C1">
        <w:trPr>
          <w:trHeight w:val="224"/>
        </w:trPr>
        <w:tc>
          <w:tcPr>
            <w:tcW w:w="9722" w:type="dxa"/>
          </w:tcPr>
          <w:p w:rsidR="009D0CB3" w:rsidRPr="005A76FE" w:rsidRDefault="009B1867" w:rsidP="0094762C">
            <w:pPr>
              <w:keepNext/>
              <w:keepLines/>
              <w:spacing w:before="120"/>
              <w:outlineLvl w:val="0"/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</w:pPr>
            <w:r w:rsidRPr="005A76FE">
              <w:rPr>
                <w:rFonts w:eastAsia="Times New Roman" w:cs="Times New Roman"/>
                <w:color w:val="005233"/>
                <w:sz w:val="36"/>
                <w:szCs w:val="14"/>
                <w:lang w:val="en-GB"/>
              </w:rPr>
              <w:t>Jiří Hlaváč</w:t>
            </w:r>
          </w:p>
        </w:tc>
      </w:tr>
    </w:tbl>
    <w:p w:rsidR="00BC7D58" w:rsidRPr="003F1820" w:rsidRDefault="00BC7D58" w:rsidP="00E50AB6">
      <w:pPr>
        <w:pStyle w:val="Kategorie"/>
        <w:spacing w:before="0"/>
        <w:rPr>
          <w:sz w:val="14"/>
          <w:szCs w:val="14"/>
        </w:rPr>
        <w:sectPr w:rsidR="00BC7D58" w:rsidRPr="003F1820" w:rsidSect="0094762C">
          <w:headerReference w:type="first" r:id="rId10"/>
          <w:footerReference w:type="first" r:id="rId11"/>
          <w:pgSz w:w="11906" w:h="16838" w:code="9"/>
          <w:pgMar w:top="2126" w:right="1418" w:bottom="1985" w:left="1418" w:header="850" w:footer="630" w:gutter="0"/>
          <w:cols w:space="708"/>
          <w:titlePg/>
          <w:docGrid w:linePitch="360"/>
        </w:sectPr>
      </w:pPr>
    </w:p>
    <w:p w:rsidR="00E50AB6" w:rsidRPr="005850E4" w:rsidRDefault="00E50AB6" w:rsidP="005850E4">
      <w:pPr>
        <w:pStyle w:val="Kategorie"/>
        <w:spacing w:before="0"/>
        <w:ind w:right="-401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lastRenderedPageBreak/>
        <w:t>Profil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Partner v TPA Česká republika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Vedoucí partner v oddělení oceňování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Auditor a daňový poradce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Soudní znalec v oboru ekono</w:t>
      </w:r>
      <w:r w:rsidR="00A6640B" w:rsidRPr="005850E4">
        <w:rPr>
          <w:sz w:val="18"/>
          <w:szCs w:val="18"/>
          <w:lang w:val="cs-CZ"/>
        </w:rPr>
        <w:t>mika</w:t>
      </w:r>
    </w:p>
    <w:p w:rsidR="009B1867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Publikační a lektorská činnost</w:t>
      </w:r>
    </w:p>
    <w:p w:rsidR="00E50AB6" w:rsidRPr="005850E4" w:rsidRDefault="009B1867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kariéra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Od roku 2002 Partner v TPA Česká republika</w:t>
      </w:r>
      <w:r w:rsidR="00E50AB6" w:rsidRPr="005850E4">
        <w:rPr>
          <w:sz w:val="18"/>
          <w:szCs w:val="18"/>
          <w:lang w:val="cs-CZ"/>
        </w:rPr>
        <w:t xml:space="preserve"> </w:t>
      </w:r>
    </w:p>
    <w:p w:rsidR="00E50AB6" w:rsidRPr="005850E4" w:rsidRDefault="009B1867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Od roku 1997 zaměstnanec v TPA Česká republika</w:t>
      </w:r>
    </w:p>
    <w:p w:rsidR="00AD4680" w:rsidRPr="005850E4" w:rsidRDefault="00AD4680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Lektor v několika vzdělávacích agenturách</w:t>
      </w:r>
    </w:p>
    <w:p w:rsidR="00E50AB6" w:rsidRPr="005850E4" w:rsidRDefault="007F66B8" w:rsidP="003F1820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20</w:t>
      </w:r>
      <w:r w:rsidR="0082715C" w:rsidRPr="005850E4">
        <w:rPr>
          <w:sz w:val="18"/>
          <w:szCs w:val="18"/>
          <w:lang w:val="cs-CZ"/>
        </w:rPr>
        <w:t xml:space="preserve"> let praxe v oboru zaměření na oceňování strukturování transakcí, projekty fúzí, strategické poradenství a restrukturalizace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Vzdělávání a certifikáty</w:t>
      </w:r>
    </w:p>
    <w:p w:rsidR="0082715C" w:rsidRPr="005850E4" w:rsidRDefault="0082715C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Absolvent doktorského studia VŠE Praha</w:t>
      </w:r>
    </w:p>
    <w:p w:rsidR="003F1820" w:rsidRPr="005850E4" w:rsidRDefault="003F1820" w:rsidP="00A664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3x oceněn titulem „Daňová hvězda pro Fúze a akvizice“</w:t>
      </w:r>
    </w:p>
    <w:p w:rsidR="003F1820" w:rsidRPr="005850E4" w:rsidRDefault="003F1820" w:rsidP="005850E4">
      <w:pPr>
        <w:pStyle w:val="Seznamsodrkami"/>
        <w:ind w:right="-684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Project manager (certifikát IIR)</w:t>
      </w:r>
    </w:p>
    <w:p w:rsidR="00E50AB6" w:rsidRPr="005850E4" w:rsidRDefault="0082715C" w:rsidP="007F66B8">
      <w:pPr>
        <w:pStyle w:val="Kategorie"/>
        <w:ind w:left="284" w:hanging="284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Profesní sítě</w:t>
      </w:r>
    </w:p>
    <w:p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Komory auditorů České republiky</w:t>
      </w:r>
    </w:p>
    <w:p w:rsidR="0082715C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Komory daňových poradců ČR a sekce daně z příjmů právnických osob</w:t>
      </w:r>
    </w:p>
    <w:p w:rsidR="0082715C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 xml:space="preserve">Člen Poradního sboru ministra spravedlnosti </w:t>
      </w:r>
    </w:p>
    <w:p w:rsidR="003F1820" w:rsidRPr="005850E4" w:rsidRDefault="007F66B8" w:rsidP="002F1C6F">
      <w:pPr>
        <w:pStyle w:val="Seznamsodrkami"/>
        <w:ind w:left="357" w:hanging="357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Člen K</w:t>
      </w:r>
      <w:r w:rsidR="003F1820" w:rsidRPr="005850E4">
        <w:rPr>
          <w:sz w:val="18"/>
          <w:szCs w:val="18"/>
          <w:lang w:val="cs-CZ"/>
        </w:rPr>
        <w:t>atedry financí a oceňování podniku VŠE Praha</w:t>
      </w:r>
    </w:p>
    <w:p w:rsidR="00E50AB6" w:rsidRPr="005850E4" w:rsidRDefault="0082715C" w:rsidP="007F66B8">
      <w:pPr>
        <w:pStyle w:val="Kategorie"/>
        <w:rPr>
          <w:rFonts w:asciiTheme="minorHAnsi" w:hAnsiTheme="minorHAnsi" w:cstheme="minorHAnsi"/>
          <w:sz w:val="18"/>
          <w:szCs w:val="18"/>
          <w:lang w:val="cs-CZ"/>
        </w:rPr>
      </w:pPr>
      <w:r w:rsidRPr="005850E4">
        <w:rPr>
          <w:rFonts w:asciiTheme="minorHAnsi" w:hAnsiTheme="minorHAnsi" w:cstheme="minorHAnsi"/>
          <w:sz w:val="18"/>
          <w:szCs w:val="18"/>
          <w:lang w:val="cs-CZ"/>
        </w:rPr>
        <w:t>Jazyková vybavenost</w:t>
      </w:r>
    </w:p>
    <w:p w:rsidR="00E50AB6" w:rsidRPr="005850E4" w:rsidRDefault="0082715C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Anglický jazyk</w:t>
      </w:r>
    </w:p>
    <w:p w:rsidR="009D0CB3" w:rsidRPr="005850E4" w:rsidRDefault="009D0CB3" w:rsidP="0039200B">
      <w:pPr>
        <w:pStyle w:val="Seznamsodrkami"/>
        <w:rPr>
          <w:sz w:val="18"/>
          <w:szCs w:val="18"/>
          <w:lang w:val="cs-CZ"/>
        </w:rPr>
      </w:pPr>
      <w:r w:rsidRPr="005850E4">
        <w:rPr>
          <w:sz w:val="18"/>
          <w:szCs w:val="18"/>
          <w:lang w:val="cs-CZ"/>
        </w:rPr>
        <w:t>Český jazyk</w:t>
      </w:r>
    </w:p>
    <w:p w:rsidR="00BC7D58" w:rsidRPr="00D819CC" w:rsidRDefault="009D0CB3" w:rsidP="005850E4">
      <w:pPr>
        <w:pStyle w:val="Seznamsodrkami"/>
        <w:numPr>
          <w:ilvl w:val="0"/>
          <w:numId w:val="0"/>
        </w:numPr>
        <w:ind w:firstLine="426"/>
        <w:rPr>
          <w:b/>
          <w:sz w:val="19"/>
          <w:szCs w:val="19"/>
          <w:lang w:val="cs-CZ"/>
        </w:rPr>
      </w:pPr>
      <w:r w:rsidRPr="005850E4">
        <w:rPr>
          <w:b/>
          <w:sz w:val="18"/>
          <w:szCs w:val="18"/>
          <w:lang w:val="cs-CZ"/>
        </w:rPr>
        <w:br w:type="column"/>
      </w:r>
      <w:r w:rsidR="0082715C" w:rsidRPr="00D819CC">
        <w:rPr>
          <w:b/>
          <w:sz w:val="19"/>
          <w:szCs w:val="19"/>
          <w:lang w:val="cs-CZ"/>
        </w:rPr>
        <w:lastRenderedPageBreak/>
        <w:t>Klientské zaměření/služby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BUSINESS CONSULTING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OBCHODNÍ DUE DILIGENCE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OCEŇOVÁNÍ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PODNIKOVÉ FINANCE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PORADENSTVÍ PŘI TRANSAKCÍCH</w:t>
      </w:r>
    </w:p>
    <w:p w:rsidR="005850E4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RESTRUKTURALIZACE</w:t>
      </w:r>
    </w:p>
    <w:p w:rsidR="00F45936" w:rsidRPr="00D819CC" w:rsidRDefault="008D6CED" w:rsidP="005850E4">
      <w:pPr>
        <w:pStyle w:val="Seznamsodrkami"/>
        <w:ind w:left="851" w:hanging="425"/>
        <w:rPr>
          <w:rStyle w:val="BulletpointZchn"/>
          <w:szCs w:val="19"/>
          <w:lang w:val="cs-CZ"/>
        </w:rPr>
      </w:pPr>
      <w:r w:rsidRPr="00D819CC">
        <w:rPr>
          <w:rStyle w:val="BulletpointZchn"/>
          <w:szCs w:val="19"/>
          <w:lang w:val="cs-CZ"/>
        </w:rPr>
        <w:t>POSTAKVIZAČNÍ PORADENSTVÍ</w:t>
      </w:r>
    </w:p>
    <w:p w:rsidR="00BC7D58" w:rsidRPr="00D819CC" w:rsidRDefault="0082715C" w:rsidP="005850E4">
      <w:pPr>
        <w:pStyle w:val="Kategorie"/>
        <w:spacing w:before="120"/>
        <w:ind w:left="851" w:hanging="425"/>
        <w:rPr>
          <w:szCs w:val="19"/>
          <w:lang w:val="cs-CZ"/>
        </w:rPr>
      </w:pPr>
      <w:r w:rsidRPr="00D819CC">
        <w:rPr>
          <w:szCs w:val="19"/>
          <w:lang w:val="cs-CZ"/>
        </w:rPr>
        <w:t>Odvětví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ADVOKÁTNÍ KANCELÁŘE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BANKOVNICTVÍ</w:t>
      </w:r>
      <w:r w:rsidR="0082715C" w:rsidRPr="00D819CC">
        <w:rPr>
          <w:sz w:val="19"/>
          <w:szCs w:val="19"/>
          <w:lang w:val="cs-CZ"/>
        </w:rPr>
        <w:t xml:space="preserve">, </w:t>
      </w:r>
      <w:r w:rsidRPr="00D819CC">
        <w:rPr>
          <w:sz w:val="19"/>
          <w:szCs w:val="19"/>
          <w:lang w:val="cs-CZ"/>
        </w:rPr>
        <w:t>POJIŠŤOVNICTVÍ A FINANČNÍ SLUŽBY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ENEREEGTIKA, TEPLÁRENSTVÍ, VODÁRENSTVÍ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HOLDINGOVÉ SPOLEČNOSTI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NEMOVITOSTI</w:t>
      </w:r>
    </w:p>
    <w:p w:rsidR="005850E4" w:rsidRPr="00D819CC" w:rsidRDefault="008D6CED" w:rsidP="005850E4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PRIVATE EQUITY</w:t>
      </w:r>
      <w:r w:rsidR="009436BD" w:rsidRPr="00D819CC">
        <w:rPr>
          <w:sz w:val="19"/>
          <w:szCs w:val="19"/>
          <w:lang w:val="cs-CZ"/>
        </w:rPr>
        <w:t xml:space="preserve"> </w:t>
      </w:r>
      <w:r w:rsidRPr="00D819CC">
        <w:rPr>
          <w:sz w:val="19"/>
          <w:szCs w:val="19"/>
          <w:lang w:val="cs-CZ"/>
        </w:rPr>
        <w:t>FONDY</w:t>
      </w:r>
    </w:p>
    <w:p w:rsidR="005850E4" w:rsidRPr="00D819CC" w:rsidRDefault="008D6CED" w:rsidP="008D6CED">
      <w:pPr>
        <w:pStyle w:val="Seznamsodrkami"/>
        <w:ind w:left="851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STROJÍRENSTVÍ A ZPRACOVATELSKÝ PRŮMYSL</w:t>
      </w:r>
    </w:p>
    <w:p w:rsidR="005850E4" w:rsidRDefault="005850E4" w:rsidP="0080562C">
      <w:pPr>
        <w:pStyle w:val="Seznamsodrkami"/>
        <w:numPr>
          <w:ilvl w:val="0"/>
          <w:numId w:val="0"/>
        </w:numPr>
        <w:rPr>
          <w:sz w:val="18"/>
          <w:szCs w:val="18"/>
          <w:lang w:val="cs-CZ"/>
        </w:rPr>
      </w:pPr>
    </w:p>
    <w:p w:rsidR="005850E4" w:rsidRPr="00D819CC" w:rsidRDefault="005850E4" w:rsidP="0080562C">
      <w:pPr>
        <w:pStyle w:val="Seznamsodrkami"/>
        <w:numPr>
          <w:ilvl w:val="0"/>
          <w:numId w:val="0"/>
        </w:numPr>
        <w:ind w:left="425"/>
        <w:rPr>
          <w:b/>
          <w:sz w:val="19"/>
          <w:szCs w:val="19"/>
          <w:lang w:val="cs-CZ"/>
        </w:rPr>
      </w:pPr>
      <w:r w:rsidRPr="00D819CC">
        <w:rPr>
          <w:b/>
          <w:sz w:val="19"/>
          <w:szCs w:val="19"/>
          <w:lang w:val="cs-CZ"/>
        </w:rPr>
        <w:t>Kontakt</w:t>
      </w:r>
    </w:p>
    <w:p w:rsidR="0080562C" w:rsidRPr="00D819CC" w:rsidRDefault="0080562C" w:rsidP="0080562C">
      <w:pPr>
        <w:pStyle w:val="Seznamsodrkami"/>
        <w:numPr>
          <w:ilvl w:val="0"/>
          <w:numId w:val="0"/>
        </w:numPr>
        <w:ind w:left="425"/>
        <w:rPr>
          <w:sz w:val="19"/>
          <w:szCs w:val="19"/>
          <w:lang w:val="cs-CZ"/>
        </w:rPr>
      </w:pPr>
    </w:p>
    <w:p w:rsidR="005850E4" w:rsidRPr="00D819CC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b/>
          <w:sz w:val="19"/>
          <w:szCs w:val="19"/>
          <w:lang w:val="cs-CZ"/>
        </w:rPr>
      </w:pPr>
      <w:r w:rsidRPr="00D819CC">
        <w:rPr>
          <w:b/>
          <w:sz w:val="19"/>
          <w:szCs w:val="19"/>
          <w:lang w:val="cs-CZ"/>
        </w:rPr>
        <w:t>Jiří Hlaváč</w:t>
      </w:r>
    </w:p>
    <w:p w:rsidR="005850E4" w:rsidRPr="00D819CC" w:rsidRDefault="005850E4" w:rsidP="005850E4">
      <w:pPr>
        <w:spacing w:line="240" w:lineRule="atLeast"/>
        <w:ind w:left="426"/>
        <w:rPr>
          <w:sz w:val="19"/>
          <w:szCs w:val="19"/>
          <w:lang w:val="en-GB"/>
        </w:rPr>
      </w:pPr>
      <w:r w:rsidRPr="00D819CC">
        <w:rPr>
          <w:sz w:val="19"/>
          <w:szCs w:val="19"/>
          <w:lang w:val="en-GB"/>
        </w:rPr>
        <w:t>jiri.hlavac@tpa-group.cz</w:t>
      </w:r>
    </w:p>
    <w:p w:rsidR="005850E4" w:rsidRPr="00D819C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  <w:lang w:val="en-GB"/>
        </w:rPr>
      </w:pPr>
      <w:r w:rsidRPr="00D819CC">
        <w:rPr>
          <w:szCs w:val="19"/>
          <w:lang w:val="en-GB"/>
        </w:rPr>
        <w:t>Telefon</w:t>
      </w:r>
      <w:r w:rsidR="00D819CC">
        <w:rPr>
          <w:szCs w:val="19"/>
          <w:lang w:val="en-GB"/>
        </w:rPr>
        <w:t>: +420 222 826 248</w:t>
      </w:r>
    </w:p>
    <w:p w:rsidR="005850E4" w:rsidRPr="00D819CC" w:rsidRDefault="0080562C" w:rsidP="005850E4">
      <w:pPr>
        <w:pStyle w:val="Bulletpoint"/>
        <w:numPr>
          <w:ilvl w:val="0"/>
          <w:numId w:val="0"/>
        </w:numPr>
        <w:spacing w:line="240" w:lineRule="atLeast"/>
        <w:ind w:left="426"/>
        <w:rPr>
          <w:szCs w:val="19"/>
        </w:rPr>
      </w:pPr>
      <w:r w:rsidRPr="00D819CC">
        <w:rPr>
          <w:szCs w:val="19"/>
          <w:lang w:val="en-GB"/>
        </w:rPr>
        <w:t>Mobil</w:t>
      </w:r>
      <w:r w:rsidR="005850E4" w:rsidRPr="00D819CC">
        <w:rPr>
          <w:szCs w:val="19"/>
          <w:lang w:val="en-GB"/>
        </w:rPr>
        <w:t>: +420 602 380</w:t>
      </w:r>
      <w:r w:rsidRPr="00D819CC">
        <w:rPr>
          <w:szCs w:val="19"/>
          <w:lang w:val="en-GB"/>
        </w:rPr>
        <w:t> </w:t>
      </w:r>
      <w:r w:rsidR="005850E4" w:rsidRPr="00D819CC">
        <w:rPr>
          <w:szCs w:val="19"/>
          <w:lang w:val="en-GB"/>
        </w:rPr>
        <w:t>690</w:t>
      </w:r>
    </w:p>
    <w:p w:rsidR="005850E4" w:rsidRPr="00D819CC" w:rsidRDefault="005850E4" w:rsidP="0080562C">
      <w:pPr>
        <w:pStyle w:val="Seznamsodrkami"/>
        <w:numPr>
          <w:ilvl w:val="0"/>
          <w:numId w:val="0"/>
        </w:numPr>
        <w:spacing w:line="240" w:lineRule="auto"/>
        <w:ind w:left="357" w:firstLine="68"/>
        <w:rPr>
          <w:sz w:val="19"/>
          <w:szCs w:val="19"/>
          <w:lang w:val="cs-CZ"/>
        </w:rPr>
      </w:pPr>
    </w:p>
    <w:p w:rsidR="0080562C" w:rsidRPr="00D819CC" w:rsidRDefault="0080562C" w:rsidP="005850E4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cs-CZ"/>
        </w:rPr>
        <w:t>TPA Česká republika</w:t>
      </w:r>
    </w:p>
    <w:p w:rsidR="0080562C" w:rsidRPr="00D819CC" w:rsidRDefault="0080562C" w:rsidP="0080562C">
      <w:pPr>
        <w:spacing w:line="240" w:lineRule="atLeast"/>
        <w:ind w:left="426"/>
        <w:rPr>
          <w:sz w:val="19"/>
          <w:szCs w:val="19"/>
          <w:lang w:val="en-GB"/>
        </w:rPr>
      </w:pPr>
      <w:r w:rsidRPr="00D819CC">
        <w:rPr>
          <w:sz w:val="19"/>
          <w:szCs w:val="19"/>
          <w:lang w:val="en-GB"/>
        </w:rPr>
        <w:t>Antala Staška 2027/79, Praha 4,</w:t>
      </w:r>
      <w:r w:rsidR="00D819CC">
        <w:rPr>
          <w:sz w:val="19"/>
          <w:szCs w:val="19"/>
          <w:lang w:val="en-GB"/>
        </w:rPr>
        <w:t xml:space="preserve"> </w:t>
      </w:r>
      <w:r w:rsidRPr="00D819CC">
        <w:rPr>
          <w:sz w:val="19"/>
          <w:szCs w:val="19"/>
          <w:lang w:val="en-GB"/>
        </w:rPr>
        <w:t>140 00</w:t>
      </w:r>
    </w:p>
    <w:p w:rsidR="00FC717D" w:rsidRPr="00D819CC" w:rsidRDefault="0080562C" w:rsidP="0080562C">
      <w:pPr>
        <w:pStyle w:val="Seznamsodrkami"/>
        <w:numPr>
          <w:ilvl w:val="0"/>
          <w:numId w:val="0"/>
        </w:numPr>
        <w:ind w:left="360" w:firstLine="66"/>
        <w:rPr>
          <w:sz w:val="19"/>
          <w:szCs w:val="19"/>
          <w:lang w:val="cs-CZ"/>
        </w:rPr>
      </w:pPr>
      <w:r w:rsidRPr="00D819CC">
        <w:rPr>
          <w:sz w:val="19"/>
          <w:szCs w:val="19"/>
          <w:lang w:val="en-GB"/>
        </w:rPr>
        <w:t>Telefon: +420 222 826 311</w:t>
      </w:r>
    </w:p>
    <w:sectPr w:rsidR="00FC717D" w:rsidRPr="00D819CC" w:rsidSect="005850E4">
      <w:headerReference w:type="first" r:id="rId12"/>
      <w:footerReference w:type="first" r:id="rId13"/>
      <w:type w:val="continuous"/>
      <w:pgSz w:w="11906" w:h="16838" w:code="9"/>
      <w:pgMar w:top="993" w:right="1418" w:bottom="1985" w:left="1418" w:header="567" w:footer="510" w:gutter="0"/>
      <w:cols w:num="2" w:space="284" w:equalWidth="0">
        <w:col w:w="4986" w:space="2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7B" w:rsidRDefault="0083237B" w:rsidP="00956F35">
      <w:pPr>
        <w:spacing w:line="240" w:lineRule="auto"/>
      </w:pPr>
      <w:r>
        <w:separator/>
      </w:r>
    </w:p>
  </w:endnote>
  <w:endnote w:type="continuationSeparator" w:id="0">
    <w:p w:rsidR="0083237B" w:rsidRDefault="0083237B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ED" w:rsidRPr="00FA34CE" w:rsidRDefault="008D6CED" w:rsidP="008D6CED">
    <w:pPr>
      <w:pStyle w:val="Zpat"/>
      <w:spacing w:line="160" w:lineRule="atLeast"/>
      <w:ind w:right="-1418"/>
      <w:rPr>
        <w:rFonts w:asciiTheme="minorHAnsi" w:hAnsiTheme="minorHAnsi" w:cstheme="minorHAnsi"/>
        <w:sz w:val="16"/>
        <w:szCs w:val="16"/>
        <w:lang w:val="en-US"/>
      </w:rPr>
    </w:pPr>
    <w:r>
      <w:rPr>
        <w:noProof/>
        <w:sz w:val="19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-262890</wp:posOffset>
          </wp:positionV>
          <wp:extent cx="1068070" cy="482600"/>
          <wp:effectExtent l="0" t="0" r="0" b="0"/>
          <wp:wrapTight wrapText="bothSides">
            <wp:wrapPolygon edited="0">
              <wp:start x="0" y="0"/>
              <wp:lineTo x="0" y="20463"/>
              <wp:lineTo x="21189" y="20463"/>
              <wp:lineTo x="21189" y="0"/>
              <wp:lineTo x="0" y="0"/>
            </wp:wrapPolygon>
          </wp:wrapTight>
          <wp:docPr id="1" name="Obrázek 1" descr="logo_BTEA_NEW_EN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TEA_NEW_EN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4CE">
      <w:rPr>
        <w:rFonts w:asciiTheme="majorHAnsi" w:hAnsiTheme="majorHAnsi" w:cs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C71544" wp14:editId="54879E6E">
              <wp:simplePos x="0" y="0"/>
              <wp:positionH relativeFrom="column">
                <wp:posOffset>3315970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rgbClr val="57AB2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1.1pt,309.75pt" to="261.1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" strokecolor="#57ab27" strokeweight=".5pt">
              <w10:wrap anchory="page"/>
              <w10:anchorlock/>
            </v:line>
          </w:pict>
        </mc:Fallback>
      </mc:AlternateContent>
    </w:r>
    <w:r w:rsidRPr="001578D5">
      <w:rPr>
        <w:rFonts w:asciiTheme="majorHAnsi" w:hAnsiTheme="majorHAnsi" w:cstheme="majorHAnsi"/>
        <w:sz w:val="16"/>
        <w:szCs w:val="16"/>
        <w:lang w:val="en-US"/>
      </w:rPr>
      <w:t>Albania |  Austria  |  Bulgaria  |  Croatia |  Czech Republic</w:t>
    </w:r>
    <w:r w:rsidRPr="00FA34CE">
      <w:rPr>
        <w:rFonts w:asciiTheme="majorHAnsi" w:hAnsiTheme="majorHAnsi" w:cstheme="majorHAnsi"/>
        <w:sz w:val="16"/>
        <w:szCs w:val="16"/>
        <w:lang w:val="en-US"/>
      </w:rPr>
      <w:t xml:space="preserve">  </w:t>
    </w:r>
    <w:r>
      <w:rPr>
        <w:rFonts w:asciiTheme="majorHAnsi" w:hAnsiTheme="majorHAnsi" w:cstheme="majorHAnsi"/>
        <w:sz w:val="16"/>
        <w:szCs w:val="16"/>
        <w:lang w:val="en-US"/>
      </w:rPr>
      <w:t xml:space="preserve">|  </w:t>
    </w:r>
    <w:r>
      <w:rPr>
        <w:rFonts w:asciiTheme="minorHAnsi" w:hAnsiTheme="minorHAnsi" w:cstheme="minorHAnsi"/>
        <w:sz w:val="16"/>
        <w:szCs w:val="16"/>
        <w:lang w:val="en-US"/>
      </w:rPr>
      <w:t xml:space="preserve">Hungary </w:t>
    </w:r>
    <w:r>
      <w:rPr>
        <w:rFonts w:asciiTheme="minorHAnsi" w:hAnsiTheme="minorHAnsi" w:cstheme="minorHAnsi"/>
        <w:sz w:val="16"/>
        <w:szCs w:val="16"/>
        <w:lang w:val="en-US"/>
      </w:rPr>
      <w:br/>
    </w:r>
    <w:r>
      <w:rPr>
        <w:rFonts w:asciiTheme="majorHAnsi" w:hAnsiTheme="majorHAnsi" w:cstheme="majorHAnsi"/>
        <w:sz w:val="16"/>
        <w:szCs w:val="16"/>
        <w:lang w:val="en-US"/>
      </w:rPr>
      <w:t xml:space="preserve">Montenegro  |  </w:t>
    </w:r>
    <w:r w:rsidRPr="001578D5">
      <w:rPr>
        <w:rFonts w:asciiTheme="minorHAnsi" w:hAnsiTheme="minorHAnsi" w:cstheme="minorHAnsi"/>
        <w:sz w:val="16"/>
        <w:szCs w:val="16"/>
        <w:lang w:val="en-US"/>
      </w:rPr>
      <w:t>Poland  |  Romania  |  Serbia  |  Slovakia  |  Slovenia</w:t>
    </w:r>
  </w:p>
  <w:p w:rsidR="00BC7D58" w:rsidRPr="008D6CED" w:rsidRDefault="00BC7D58" w:rsidP="008D6C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6C" w:rsidRPr="00FC717D" w:rsidRDefault="00BB686C" w:rsidP="00FC717D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7B" w:rsidRDefault="0083237B" w:rsidP="00956F35">
      <w:pPr>
        <w:spacing w:line="240" w:lineRule="auto"/>
      </w:pPr>
      <w:r>
        <w:separator/>
      </w:r>
    </w:p>
  </w:footnote>
  <w:footnote w:type="continuationSeparator" w:id="0">
    <w:p w:rsidR="0083237B" w:rsidRDefault="0083237B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de-DE" w:eastAsia="de-DE"/>
      </w:rPr>
      <w:drawing>
        <wp:inline distT="0" distB="0" distL="0" distR="0" wp14:anchorId="15072F41" wp14:editId="4FAC94A6">
          <wp:extent cx="896400" cy="752400"/>
          <wp:effectExtent l="0" t="0" r="0" b="0"/>
          <wp:docPr id="9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2C" w:rsidRPr="005850E4" w:rsidRDefault="0094762C" w:rsidP="005850E4">
    <w:pPr>
      <w:pStyle w:val="Zhlav"/>
      <w:rPr>
        <w:vanish/>
        <w:sz w:val="16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9B1867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270E2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96F5C"/>
    <w:rsid w:val="002A63F2"/>
    <w:rsid w:val="002B42FA"/>
    <w:rsid w:val="002C10F9"/>
    <w:rsid w:val="002F1C6F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1820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850E4"/>
    <w:rsid w:val="00595248"/>
    <w:rsid w:val="00597D83"/>
    <w:rsid w:val="005A76FE"/>
    <w:rsid w:val="005B27C6"/>
    <w:rsid w:val="005B2A40"/>
    <w:rsid w:val="005B3967"/>
    <w:rsid w:val="005B39C7"/>
    <w:rsid w:val="005C77D7"/>
    <w:rsid w:val="005D227F"/>
    <w:rsid w:val="005E1CA2"/>
    <w:rsid w:val="005E522C"/>
    <w:rsid w:val="005E7C15"/>
    <w:rsid w:val="005F34D0"/>
    <w:rsid w:val="005F416A"/>
    <w:rsid w:val="00601EE5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063"/>
    <w:rsid w:val="006B4FE0"/>
    <w:rsid w:val="006C19FD"/>
    <w:rsid w:val="006C24C1"/>
    <w:rsid w:val="006C3036"/>
    <w:rsid w:val="006D28FC"/>
    <w:rsid w:val="006D3A22"/>
    <w:rsid w:val="006D581F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66B8"/>
    <w:rsid w:val="007F7A06"/>
    <w:rsid w:val="0080561F"/>
    <w:rsid w:val="0080562C"/>
    <w:rsid w:val="00812C56"/>
    <w:rsid w:val="00813B4E"/>
    <w:rsid w:val="00817789"/>
    <w:rsid w:val="00817AD3"/>
    <w:rsid w:val="0082715C"/>
    <w:rsid w:val="0083237B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D6CED"/>
    <w:rsid w:val="008E477D"/>
    <w:rsid w:val="008F0105"/>
    <w:rsid w:val="009121EE"/>
    <w:rsid w:val="009143BD"/>
    <w:rsid w:val="009249CF"/>
    <w:rsid w:val="009266F5"/>
    <w:rsid w:val="00930F7D"/>
    <w:rsid w:val="00933CB6"/>
    <w:rsid w:val="009436BD"/>
    <w:rsid w:val="0094762C"/>
    <w:rsid w:val="00950297"/>
    <w:rsid w:val="009532B7"/>
    <w:rsid w:val="00956F35"/>
    <w:rsid w:val="009669CC"/>
    <w:rsid w:val="00972234"/>
    <w:rsid w:val="00986A70"/>
    <w:rsid w:val="009974B4"/>
    <w:rsid w:val="009B1867"/>
    <w:rsid w:val="009D0786"/>
    <w:rsid w:val="009D0CB3"/>
    <w:rsid w:val="009D3FC8"/>
    <w:rsid w:val="009D4A12"/>
    <w:rsid w:val="009F1019"/>
    <w:rsid w:val="009F3826"/>
    <w:rsid w:val="009F76AC"/>
    <w:rsid w:val="00A2285B"/>
    <w:rsid w:val="00A45294"/>
    <w:rsid w:val="00A51FBF"/>
    <w:rsid w:val="00A6640B"/>
    <w:rsid w:val="00A74F23"/>
    <w:rsid w:val="00A776EB"/>
    <w:rsid w:val="00A872C0"/>
    <w:rsid w:val="00A9743C"/>
    <w:rsid w:val="00AB6D15"/>
    <w:rsid w:val="00AD2616"/>
    <w:rsid w:val="00AD4680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B686C"/>
    <w:rsid w:val="00BC7D58"/>
    <w:rsid w:val="00BD2205"/>
    <w:rsid w:val="00BE6673"/>
    <w:rsid w:val="00C01098"/>
    <w:rsid w:val="00C04669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19CC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17D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Tempate%20CV_Englisch%20-%20Baker%20Tilly%20Network%20Branding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107B-06CA-4FD1-8DA3-4E2EA082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Tempate CV_Englisch - Baker Tilly Network Branding.dotx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19</cp:revision>
  <cp:lastPrinted>2018-04-03T08:38:00Z</cp:lastPrinted>
  <dcterms:created xsi:type="dcterms:W3CDTF">2018-02-06T09:11:00Z</dcterms:created>
  <dcterms:modified xsi:type="dcterms:W3CDTF">2020-08-17T06:53:00Z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C0B2903E7946B59BC1258036002611A4</vt:lpwstr>
  </property>
  <property fmtid="{D5CDD505-2E9C-101B-9397-08002B2CF9AE}" pid="6" name="SW_DocHWND">
    <vt:r8>853392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