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B1F" w:rsidRDefault="00476B1F">
      <w:r>
        <w:fldChar w:fldCharType="begin"/>
      </w:r>
      <w:r>
        <w:instrText xml:space="preserve"> HYPERLINK "https://roklen24.cz/a/Sq9fV/analyza-tpa-trhu-ma-v-regionu-cee-za-pololeti-mene-transakci-ale-vetsi-financni-objem" </w:instrText>
      </w:r>
      <w:r>
        <w:fldChar w:fldCharType="separate"/>
      </w:r>
      <w:r>
        <w:rPr>
          <w:rStyle w:val="Hypertextovodkaz"/>
        </w:rPr>
        <w:t>https://roklen24.cz/a/Sq9fV/analyza-</w:t>
      </w:r>
      <w:bookmarkStart w:id="0" w:name="_GoBack"/>
      <w:r>
        <w:rPr>
          <w:rStyle w:val="Hypertextovodkaz"/>
        </w:rPr>
        <w:t>tpa</w:t>
      </w:r>
      <w:bookmarkEnd w:id="0"/>
      <w:r>
        <w:rPr>
          <w:rStyle w:val="Hypertextovodkaz"/>
        </w:rPr>
        <w:t>-trhu-ma-v-regionu-cee-za-pololeti-mene-transakci-ale-vetsi-financni-objem</w:t>
      </w:r>
      <w:r>
        <w:fldChar w:fldCharType="end"/>
      </w:r>
    </w:p>
    <w:p w:rsidR="00476B1F" w:rsidRPr="00476B1F" w:rsidRDefault="00476B1F" w:rsidP="00476B1F">
      <w:pPr>
        <w:shd w:val="clear" w:color="auto" w:fill="FFFFFF"/>
        <w:spacing w:after="300" w:line="240" w:lineRule="auto"/>
        <w:jc w:val="center"/>
        <w:textAlignment w:val="baseline"/>
        <w:outlineLvl w:val="0"/>
        <w:rPr>
          <w:rFonts w:ascii="Arial" w:eastAsia="Times New Roman" w:hAnsi="Arial" w:cs="Arial"/>
          <w:b/>
          <w:bCs/>
          <w:color w:val="51534A"/>
          <w:kern w:val="36"/>
          <w:sz w:val="69"/>
          <w:szCs w:val="69"/>
          <w:lang w:eastAsia="cs-CZ"/>
        </w:rPr>
      </w:pPr>
      <w:r w:rsidRPr="00476B1F">
        <w:rPr>
          <w:rFonts w:ascii="Arial" w:eastAsia="Times New Roman" w:hAnsi="Arial" w:cs="Arial"/>
          <w:b/>
          <w:bCs/>
          <w:color w:val="51534A"/>
          <w:kern w:val="36"/>
          <w:sz w:val="69"/>
          <w:szCs w:val="69"/>
          <w:lang w:eastAsia="cs-CZ"/>
        </w:rPr>
        <w:t xml:space="preserve">Analýza </w:t>
      </w:r>
      <w:r w:rsidRPr="00476B1F">
        <w:rPr>
          <w:rFonts w:ascii="Arial" w:eastAsia="Times New Roman" w:hAnsi="Arial" w:cs="Arial"/>
          <w:b/>
          <w:bCs/>
          <w:color w:val="FF0000"/>
          <w:kern w:val="36"/>
          <w:sz w:val="69"/>
          <w:szCs w:val="69"/>
          <w:lang w:eastAsia="cs-CZ"/>
        </w:rPr>
        <w:t xml:space="preserve">TPA </w:t>
      </w:r>
      <w:r w:rsidRPr="00476B1F">
        <w:rPr>
          <w:rFonts w:ascii="Arial" w:eastAsia="Times New Roman" w:hAnsi="Arial" w:cs="Arial"/>
          <w:b/>
          <w:bCs/>
          <w:color w:val="51534A"/>
          <w:kern w:val="36"/>
          <w:sz w:val="69"/>
          <w:szCs w:val="69"/>
          <w:lang w:eastAsia="cs-CZ"/>
        </w:rPr>
        <w:t>trhu M&amp;A v regionu CEE: Za pololetí méně transakcí, ale větší finanční objem</w:t>
      </w:r>
    </w:p>
    <w:p w:rsidR="00476B1F" w:rsidRPr="00476B1F" w:rsidRDefault="00476B1F" w:rsidP="00476B1F">
      <w:pPr>
        <w:shd w:val="clear" w:color="auto" w:fill="FFFFFF"/>
        <w:spacing w:after="0" w:line="312" w:lineRule="atLeast"/>
        <w:jc w:val="center"/>
        <w:textAlignment w:val="baseline"/>
        <w:rPr>
          <w:rFonts w:ascii="sans serif" w:eastAsia="Times New Roman" w:hAnsi="sans serif" w:cs="Times New Roman"/>
          <w:color w:val="7F7F7F"/>
          <w:sz w:val="21"/>
          <w:szCs w:val="21"/>
          <w:lang w:eastAsia="cs-CZ"/>
        </w:rPr>
      </w:pPr>
      <w:hyperlink r:id="rId4" w:history="1">
        <w:r w:rsidRPr="00476B1F">
          <w:rPr>
            <w:rFonts w:ascii="inherit" w:eastAsia="Times New Roman" w:hAnsi="inherit" w:cs="Times New Roman"/>
            <w:b/>
            <w:bCs/>
            <w:color w:val="4664FF"/>
            <w:sz w:val="21"/>
            <w:szCs w:val="21"/>
            <w:bdr w:val="none" w:sz="0" w:space="0" w:color="auto" w:frame="1"/>
            <w:lang w:eastAsia="cs-CZ"/>
          </w:rPr>
          <w:t>Roklen24</w:t>
        </w:r>
      </w:hyperlink>
      <w:r w:rsidRPr="00476B1F">
        <w:rPr>
          <w:rFonts w:ascii="sans serif" w:eastAsia="Times New Roman" w:hAnsi="sans serif" w:cs="Times New Roman"/>
          <w:color w:val="7F7F7F"/>
          <w:sz w:val="21"/>
          <w:szCs w:val="21"/>
          <w:lang w:eastAsia="cs-CZ"/>
        </w:rPr>
        <w:t> </w:t>
      </w:r>
      <w:r w:rsidRPr="00476B1F">
        <w:rPr>
          <w:rFonts w:ascii="sans serif" w:eastAsia="Times New Roman" w:hAnsi="sans serif" w:cs="Times New Roman"/>
          <w:color w:val="7F7F7F"/>
          <w:sz w:val="21"/>
          <w:szCs w:val="21"/>
          <w:lang w:eastAsia="cs-CZ"/>
        </w:rPr>
        <w:br/>
        <w:t>15:49 • 23. července 2019</w:t>
      </w:r>
    </w:p>
    <w:p w:rsidR="00476B1F" w:rsidRPr="00476B1F" w:rsidRDefault="00476B1F" w:rsidP="00476B1F">
      <w:pPr>
        <w:shd w:val="clear" w:color="auto" w:fill="FFFFFF"/>
        <w:spacing w:line="240" w:lineRule="auto"/>
        <w:textAlignment w:val="baseline"/>
        <w:rPr>
          <w:rFonts w:ascii="Times New Roman" w:eastAsia="Times New Roman" w:hAnsi="Times New Roman" w:cs="Times New Roman"/>
          <w:color w:val="51534A"/>
          <w:sz w:val="24"/>
          <w:szCs w:val="24"/>
          <w:lang w:eastAsia="cs-CZ"/>
        </w:rPr>
      </w:pPr>
      <w:r w:rsidRPr="00476B1F">
        <w:rPr>
          <w:rFonts w:ascii="Times New Roman" w:eastAsia="Times New Roman" w:hAnsi="Times New Roman" w:cs="Times New Roman"/>
          <w:color w:val="51534A"/>
          <w:sz w:val="24"/>
          <w:szCs w:val="24"/>
          <w:lang w:eastAsia="cs-CZ"/>
        </w:rPr>
        <w:t>   </w:t>
      </w:r>
    </w:p>
    <w:p w:rsidR="00476B1F" w:rsidRPr="00476B1F" w:rsidRDefault="00476B1F" w:rsidP="00476B1F">
      <w:pPr>
        <w:shd w:val="clear" w:color="auto" w:fill="FFFFFF"/>
        <w:spacing w:after="0" w:line="312" w:lineRule="atLeast"/>
        <w:textAlignment w:val="baseline"/>
        <w:rPr>
          <w:rFonts w:ascii="sans serif" w:eastAsia="Times New Roman" w:hAnsi="sans serif" w:cs="Arial"/>
          <w:color w:val="51534A"/>
          <w:sz w:val="27"/>
          <w:szCs w:val="27"/>
          <w:lang w:eastAsia="cs-CZ"/>
        </w:rPr>
      </w:pPr>
      <w:r w:rsidRPr="00476B1F">
        <w:rPr>
          <w:rFonts w:ascii="inherit" w:eastAsia="Times New Roman" w:hAnsi="inherit" w:cs="Arial"/>
          <w:b/>
          <w:bCs/>
          <w:color w:val="51534A"/>
          <w:sz w:val="27"/>
          <w:szCs w:val="27"/>
          <w:bdr w:val="none" w:sz="0" w:space="0" w:color="auto" w:frame="1"/>
          <w:lang w:eastAsia="cs-CZ"/>
        </w:rPr>
        <w:t xml:space="preserve">Trh fúzí a akvizic zaznamenal v regionu střední a východní Evropy v prvním pololetí letošního roku 183 transakcí. To je pokles oproti minulému pololetí, kdy bylo uskutečněno 228 transakcí. Objem uskutečněných transakcí, u nichž je známá kupní cena (64) činil v 1H 2019 podle analýzy </w:t>
      </w:r>
      <w:r w:rsidRPr="00476B1F">
        <w:rPr>
          <w:rFonts w:ascii="inherit" w:eastAsia="Times New Roman" w:hAnsi="inherit" w:cs="Arial"/>
          <w:b/>
          <w:bCs/>
          <w:color w:val="FF0000"/>
          <w:sz w:val="27"/>
          <w:szCs w:val="27"/>
          <w:bdr w:val="none" w:sz="0" w:space="0" w:color="auto" w:frame="1"/>
          <w:lang w:eastAsia="cs-CZ"/>
        </w:rPr>
        <w:t xml:space="preserve">TPA </w:t>
      </w:r>
      <w:proofErr w:type="spellStart"/>
      <w:r w:rsidRPr="00476B1F">
        <w:rPr>
          <w:rFonts w:ascii="inherit" w:eastAsia="Times New Roman" w:hAnsi="inherit" w:cs="Arial"/>
          <w:b/>
          <w:bCs/>
          <w:color w:val="51534A"/>
          <w:sz w:val="27"/>
          <w:szCs w:val="27"/>
          <w:bdr w:val="none" w:sz="0" w:space="0" w:color="auto" w:frame="1"/>
          <w:lang w:eastAsia="cs-CZ"/>
        </w:rPr>
        <w:t>Valuation</w:t>
      </w:r>
      <w:proofErr w:type="spellEnd"/>
      <w:r w:rsidRPr="00476B1F">
        <w:rPr>
          <w:rFonts w:ascii="inherit" w:eastAsia="Times New Roman" w:hAnsi="inherit" w:cs="Arial"/>
          <w:b/>
          <w:bCs/>
          <w:color w:val="51534A"/>
          <w:sz w:val="27"/>
          <w:szCs w:val="27"/>
          <w:bdr w:val="none" w:sz="0" w:space="0" w:color="auto" w:frame="1"/>
          <w:lang w:eastAsia="cs-CZ"/>
        </w:rPr>
        <w:t xml:space="preserve"> &amp; </w:t>
      </w:r>
      <w:proofErr w:type="spellStart"/>
      <w:r w:rsidRPr="00476B1F">
        <w:rPr>
          <w:rFonts w:ascii="inherit" w:eastAsia="Times New Roman" w:hAnsi="inherit" w:cs="Arial"/>
          <w:b/>
          <w:bCs/>
          <w:color w:val="51534A"/>
          <w:sz w:val="27"/>
          <w:szCs w:val="27"/>
          <w:bdr w:val="none" w:sz="0" w:space="0" w:color="auto" w:frame="1"/>
          <w:lang w:eastAsia="cs-CZ"/>
        </w:rPr>
        <w:t>Advisory</w:t>
      </w:r>
      <w:proofErr w:type="spellEnd"/>
      <w:r w:rsidRPr="00476B1F">
        <w:rPr>
          <w:rFonts w:ascii="inherit" w:eastAsia="Times New Roman" w:hAnsi="inherit" w:cs="Arial"/>
          <w:b/>
          <w:bCs/>
          <w:color w:val="51534A"/>
          <w:sz w:val="27"/>
          <w:szCs w:val="27"/>
          <w:bdr w:val="none" w:sz="0" w:space="0" w:color="auto" w:frame="1"/>
          <w:lang w:eastAsia="cs-CZ"/>
        </w:rPr>
        <w:t xml:space="preserve"> 9 933 mil. eur. Ve 2H 2018 to bylo 8 457 mil. eur pro zveřejněných 76 případů. Pokračuje tedy trend z prvního čtvrtletí, kdy byl také zaznamenán pokles aktivity oproti 4Q 2018. Největší zobchodovaný objem, 1 917 mil. eur, zaznamenal v 1H 2019 sektor utility a sektor financí, 1 615 mil. eur.</w:t>
      </w:r>
    </w:p>
    <w:p w:rsidR="00476B1F" w:rsidRPr="00476B1F" w:rsidRDefault="00476B1F" w:rsidP="00476B1F">
      <w:pPr>
        <w:shd w:val="clear" w:color="auto" w:fill="FFFFFF"/>
        <w:spacing w:after="600" w:line="312" w:lineRule="atLeast"/>
        <w:textAlignment w:val="baseline"/>
        <w:rPr>
          <w:rFonts w:ascii="sans serif" w:eastAsia="Times New Roman" w:hAnsi="sans serif" w:cs="Arial"/>
          <w:color w:val="51534A"/>
          <w:sz w:val="27"/>
          <w:szCs w:val="27"/>
          <w:lang w:eastAsia="cs-CZ"/>
        </w:rPr>
      </w:pPr>
      <w:r w:rsidRPr="00476B1F">
        <w:rPr>
          <w:rFonts w:ascii="sans serif" w:eastAsia="Times New Roman" w:hAnsi="sans serif" w:cs="Arial"/>
          <w:color w:val="51534A"/>
          <w:sz w:val="27"/>
          <w:szCs w:val="27"/>
          <w:lang w:eastAsia="cs-CZ"/>
        </w:rPr>
        <w:t>Z dlouhodobého hlediska dochází v průměru ke stále většímu objemu zobchodovaných transakcí. Od roku 2012 objemy transakcí na CEE trhu rostou kromě roku 2017, kdy došlo k mírnému poklesu aktivity. Nicméně medián EBITDA násobku vyšší než 10 z roku 2008 nebyl dosud překonán, stejně jako počet transakcí, které v roce 2008 proběhly – 228.</w:t>
      </w:r>
    </w:p>
    <w:p w:rsidR="00476B1F" w:rsidRPr="00476B1F" w:rsidRDefault="00476B1F" w:rsidP="00476B1F">
      <w:pPr>
        <w:shd w:val="clear" w:color="auto" w:fill="FFFFFF"/>
        <w:spacing w:after="0" w:line="312" w:lineRule="atLeast"/>
        <w:textAlignment w:val="baseline"/>
        <w:rPr>
          <w:rFonts w:ascii="sans serif" w:eastAsia="Times New Roman" w:hAnsi="sans serif" w:cs="Arial"/>
          <w:color w:val="51534A"/>
          <w:sz w:val="27"/>
          <w:szCs w:val="27"/>
          <w:lang w:eastAsia="cs-CZ"/>
        </w:rPr>
      </w:pPr>
      <w:r w:rsidRPr="00476B1F">
        <w:rPr>
          <w:rFonts w:ascii="sans serif" w:eastAsia="Times New Roman" w:hAnsi="sans serif" w:cs="Arial"/>
          <w:color w:val="51534A"/>
          <w:sz w:val="27"/>
          <w:szCs w:val="27"/>
          <w:lang w:eastAsia="cs-CZ"/>
        </w:rPr>
        <w:t>„Naši analýzu situace na trhu M&amp;A zaměřujeme na region, ve kterém naše skupina působí, tedy střední a východní Evropu. Od roku 2008 do konce 1Q 2019 tu proběhlo téměř 5 000 transakcí. K nejaktivnějším trhům patří polský s podílem přibližně 29 % na všech transakcích, následuje Rakousko s 20% podílem a Česká republika s podílem přibližně 18 %. Nejmenší aktivitu vykazují Albánie a Černá Hora, které se podílí dohromady asi 2 % na monitorovaných obchodech,“ upřesňuje aktivitu v CEE regionu </w:t>
      </w:r>
      <w:r w:rsidRPr="00476B1F">
        <w:rPr>
          <w:rFonts w:ascii="inherit" w:eastAsia="Times New Roman" w:hAnsi="inherit" w:cs="Arial"/>
          <w:b/>
          <w:bCs/>
          <w:color w:val="51534A"/>
          <w:sz w:val="27"/>
          <w:szCs w:val="27"/>
          <w:bdr w:val="none" w:sz="0" w:space="0" w:color="auto" w:frame="1"/>
          <w:lang w:eastAsia="cs-CZ"/>
        </w:rPr>
        <w:t>Jiří Hlaváč</w:t>
      </w:r>
      <w:r w:rsidRPr="00476B1F">
        <w:rPr>
          <w:rFonts w:ascii="sans serif" w:eastAsia="Times New Roman" w:hAnsi="sans serif" w:cs="Arial"/>
          <w:color w:val="51534A"/>
          <w:sz w:val="27"/>
          <w:szCs w:val="27"/>
          <w:lang w:eastAsia="cs-CZ"/>
        </w:rPr>
        <w:t xml:space="preserve">, partner </w:t>
      </w:r>
      <w:r w:rsidRPr="00476B1F">
        <w:rPr>
          <w:rFonts w:ascii="sans serif" w:eastAsia="Times New Roman" w:hAnsi="sans serif" w:cs="Arial"/>
          <w:b/>
          <w:color w:val="FF0000"/>
          <w:sz w:val="27"/>
          <w:szCs w:val="27"/>
          <w:lang w:eastAsia="cs-CZ"/>
        </w:rPr>
        <w:t>TPA</w:t>
      </w:r>
      <w:r w:rsidRPr="00476B1F">
        <w:rPr>
          <w:rFonts w:ascii="sans serif" w:eastAsia="Times New Roman" w:hAnsi="sans serif" w:cs="Arial"/>
          <w:color w:val="FF0000"/>
          <w:sz w:val="27"/>
          <w:szCs w:val="27"/>
          <w:lang w:eastAsia="cs-CZ"/>
        </w:rPr>
        <w:t xml:space="preserve"> </w:t>
      </w:r>
      <w:r w:rsidRPr="00476B1F">
        <w:rPr>
          <w:rFonts w:ascii="sans serif" w:eastAsia="Times New Roman" w:hAnsi="sans serif" w:cs="Arial"/>
          <w:b/>
          <w:color w:val="FF0000"/>
          <w:sz w:val="27"/>
          <w:szCs w:val="27"/>
          <w:lang w:eastAsia="cs-CZ"/>
        </w:rPr>
        <w:t>Group</w:t>
      </w:r>
      <w:r w:rsidRPr="00476B1F">
        <w:rPr>
          <w:rFonts w:ascii="sans serif" w:eastAsia="Times New Roman" w:hAnsi="sans serif" w:cs="Arial"/>
          <w:color w:val="51534A"/>
          <w:sz w:val="27"/>
          <w:szCs w:val="27"/>
          <w:lang w:eastAsia="cs-CZ"/>
        </w:rPr>
        <w:t>.</w:t>
      </w:r>
    </w:p>
    <w:p w:rsidR="00476B1F" w:rsidRPr="00476B1F" w:rsidRDefault="00476B1F" w:rsidP="00476B1F">
      <w:pPr>
        <w:shd w:val="clear" w:color="auto" w:fill="FFFFFF"/>
        <w:spacing w:after="600" w:line="312" w:lineRule="atLeast"/>
        <w:textAlignment w:val="baseline"/>
        <w:rPr>
          <w:rFonts w:ascii="sans serif" w:eastAsia="Times New Roman" w:hAnsi="sans serif" w:cs="Arial"/>
          <w:color w:val="51534A"/>
          <w:sz w:val="27"/>
          <w:szCs w:val="27"/>
          <w:lang w:eastAsia="cs-CZ"/>
        </w:rPr>
      </w:pPr>
      <w:r w:rsidRPr="00476B1F">
        <w:rPr>
          <w:rFonts w:ascii="sans serif" w:eastAsia="Times New Roman" w:hAnsi="sans serif" w:cs="Arial"/>
          <w:color w:val="51534A"/>
          <w:sz w:val="27"/>
          <w:szCs w:val="27"/>
          <w:lang w:eastAsia="cs-CZ"/>
        </w:rPr>
        <w:t>Podle něho je zřejmý nárůst zejména z hlediska objemu uskutečňovaných transakcí. Tržní násobky EBITDA jsou poměrně stabilní a vzhledem k aktuální tržní obezřetnosti jak privátních subjektů, tak bankovních domů nelze očekávat výraznou změnu ve výnosnosti pro investory. Trendem jsou v poslední době investice do e-</w:t>
      </w:r>
      <w:proofErr w:type="spellStart"/>
      <w:r w:rsidRPr="00476B1F">
        <w:rPr>
          <w:rFonts w:ascii="sans serif" w:eastAsia="Times New Roman" w:hAnsi="sans serif" w:cs="Arial"/>
          <w:color w:val="51534A"/>
          <w:sz w:val="27"/>
          <w:szCs w:val="27"/>
          <w:lang w:eastAsia="cs-CZ"/>
        </w:rPr>
        <w:t>commerce</w:t>
      </w:r>
      <w:proofErr w:type="spellEnd"/>
      <w:r w:rsidRPr="00476B1F">
        <w:rPr>
          <w:rFonts w:ascii="sans serif" w:eastAsia="Times New Roman" w:hAnsi="sans serif" w:cs="Arial"/>
          <w:color w:val="51534A"/>
          <w:sz w:val="27"/>
          <w:szCs w:val="27"/>
          <w:lang w:eastAsia="cs-CZ"/>
        </w:rPr>
        <w:t xml:space="preserve"> a energetiky.</w:t>
      </w:r>
    </w:p>
    <w:p w:rsidR="00476B1F" w:rsidRPr="00476B1F" w:rsidRDefault="00476B1F" w:rsidP="00476B1F">
      <w:pPr>
        <w:shd w:val="clear" w:color="auto" w:fill="FFFFFF"/>
        <w:spacing w:after="600" w:line="312" w:lineRule="atLeast"/>
        <w:textAlignment w:val="baseline"/>
        <w:rPr>
          <w:rFonts w:ascii="sans serif" w:eastAsia="Times New Roman" w:hAnsi="sans serif" w:cs="Arial"/>
          <w:color w:val="51534A"/>
          <w:sz w:val="27"/>
          <w:szCs w:val="27"/>
          <w:lang w:eastAsia="cs-CZ"/>
        </w:rPr>
      </w:pPr>
      <w:r w:rsidRPr="00476B1F">
        <w:rPr>
          <w:rFonts w:ascii="sans serif" w:eastAsia="Times New Roman" w:hAnsi="sans serif" w:cs="Arial"/>
          <w:b/>
          <w:color w:val="FF0000"/>
          <w:sz w:val="27"/>
          <w:szCs w:val="27"/>
          <w:lang w:eastAsia="cs-CZ"/>
        </w:rPr>
        <w:lastRenderedPageBreak/>
        <w:t>TPA</w:t>
      </w:r>
      <w:r w:rsidRPr="00476B1F">
        <w:rPr>
          <w:rFonts w:ascii="sans serif" w:eastAsia="Times New Roman" w:hAnsi="sans serif" w:cs="Arial"/>
          <w:color w:val="FF0000"/>
          <w:sz w:val="27"/>
          <w:szCs w:val="27"/>
          <w:lang w:eastAsia="cs-CZ"/>
        </w:rPr>
        <w:t xml:space="preserve"> </w:t>
      </w:r>
      <w:r w:rsidRPr="00476B1F">
        <w:rPr>
          <w:rFonts w:ascii="sans serif" w:eastAsia="Times New Roman" w:hAnsi="sans serif" w:cs="Arial"/>
          <w:color w:val="51534A"/>
          <w:sz w:val="27"/>
          <w:szCs w:val="27"/>
          <w:lang w:eastAsia="cs-CZ"/>
        </w:rPr>
        <w:t>ve své analýze vycházela z dat, které má k dispozici z databáze </w:t>
      </w:r>
      <w:proofErr w:type="spellStart"/>
      <w:r w:rsidRPr="00476B1F">
        <w:rPr>
          <w:rFonts w:ascii="sans serif" w:eastAsia="Times New Roman" w:hAnsi="sans serif" w:cs="Arial"/>
          <w:color w:val="51534A"/>
          <w:sz w:val="27"/>
          <w:szCs w:val="27"/>
          <w:lang w:eastAsia="cs-CZ"/>
        </w:rPr>
        <w:t>Mergermarket</w:t>
      </w:r>
      <w:proofErr w:type="spellEnd"/>
      <w:r w:rsidRPr="00476B1F">
        <w:rPr>
          <w:rFonts w:ascii="sans serif" w:eastAsia="Times New Roman" w:hAnsi="sans serif" w:cs="Arial"/>
          <w:color w:val="51534A"/>
          <w:sz w:val="27"/>
          <w:szCs w:val="27"/>
          <w:lang w:eastAsia="cs-CZ"/>
        </w:rPr>
        <w:t>.</w:t>
      </w:r>
    </w:p>
    <w:p w:rsidR="00476B1F" w:rsidRPr="00476B1F" w:rsidRDefault="00476B1F" w:rsidP="00476B1F">
      <w:pPr>
        <w:shd w:val="clear" w:color="auto" w:fill="F5F5F0"/>
        <w:spacing w:after="0" w:line="240" w:lineRule="auto"/>
        <w:textAlignment w:val="baseline"/>
        <w:rPr>
          <w:rFonts w:ascii="inherit" w:eastAsia="Times New Roman" w:hAnsi="inherit" w:cs="Arial"/>
          <w:color w:val="51534A"/>
          <w:sz w:val="23"/>
          <w:szCs w:val="23"/>
          <w:lang w:eastAsia="cs-CZ"/>
        </w:rPr>
      </w:pPr>
      <w:proofErr w:type="spellStart"/>
      <w:r w:rsidRPr="00476B1F">
        <w:rPr>
          <w:rFonts w:ascii="inherit" w:eastAsia="Times New Roman" w:hAnsi="inherit" w:cs="Arial"/>
          <w:b/>
          <w:bCs/>
          <w:color w:val="51534A"/>
          <w:sz w:val="23"/>
          <w:szCs w:val="23"/>
          <w:bdr w:val="none" w:sz="0" w:space="0" w:color="auto" w:frame="1"/>
          <w:lang w:eastAsia="cs-CZ"/>
        </w:rPr>
        <w:t>Vědeli</w:t>
      </w:r>
      <w:proofErr w:type="spellEnd"/>
      <w:r w:rsidRPr="00476B1F">
        <w:rPr>
          <w:rFonts w:ascii="inherit" w:eastAsia="Times New Roman" w:hAnsi="inherit" w:cs="Arial"/>
          <w:b/>
          <w:bCs/>
          <w:color w:val="51534A"/>
          <w:sz w:val="23"/>
          <w:szCs w:val="23"/>
          <w:bdr w:val="none" w:sz="0" w:space="0" w:color="auto" w:frame="1"/>
          <w:lang w:eastAsia="cs-CZ"/>
        </w:rPr>
        <w:t xml:space="preserve"> jste, že:</w:t>
      </w:r>
    </w:p>
    <w:p w:rsidR="00476B1F" w:rsidRPr="00476B1F" w:rsidRDefault="00476B1F" w:rsidP="00476B1F">
      <w:pPr>
        <w:shd w:val="clear" w:color="auto" w:fill="F5F5F0"/>
        <w:spacing w:after="0" w:line="240" w:lineRule="auto"/>
        <w:textAlignment w:val="baseline"/>
        <w:rPr>
          <w:rFonts w:ascii="inherit" w:eastAsia="Times New Roman" w:hAnsi="inherit" w:cs="Arial"/>
          <w:color w:val="51534A"/>
          <w:sz w:val="23"/>
          <w:szCs w:val="23"/>
          <w:lang w:eastAsia="cs-CZ"/>
        </w:rPr>
      </w:pPr>
      <w:r w:rsidRPr="00476B1F">
        <w:rPr>
          <w:rFonts w:ascii="inherit" w:eastAsia="Times New Roman" w:hAnsi="inherit" w:cs="Arial"/>
          <w:color w:val="51534A"/>
          <w:sz w:val="23"/>
          <w:szCs w:val="23"/>
          <w:lang w:eastAsia="cs-CZ"/>
        </w:rPr>
        <w:t>„ </w:t>
      </w:r>
      <w:r w:rsidRPr="00476B1F">
        <w:rPr>
          <w:rFonts w:ascii="inherit" w:eastAsia="Times New Roman" w:hAnsi="inherit" w:cs="Arial"/>
          <w:b/>
          <w:bCs/>
          <w:color w:val="51534A"/>
          <w:sz w:val="23"/>
          <w:szCs w:val="23"/>
          <w:bdr w:val="none" w:sz="0" w:space="0" w:color="auto" w:frame="1"/>
          <w:lang w:eastAsia="cs-CZ"/>
        </w:rPr>
        <w:t xml:space="preserve">Skupina </w:t>
      </w:r>
      <w:proofErr w:type="spellStart"/>
      <w:r w:rsidRPr="00476B1F">
        <w:rPr>
          <w:rFonts w:ascii="inherit" w:eastAsia="Times New Roman" w:hAnsi="inherit" w:cs="Arial"/>
          <w:b/>
          <w:bCs/>
          <w:color w:val="51534A"/>
          <w:sz w:val="23"/>
          <w:szCs w:val="23"/>
          <w:bdr w:val="none" w:sz="0" w:space="0" w:color="auto" w:frame="1"/>
          <w:lang w:eastAsia="cs-CZ"/>
        </w:rPr>
        <w:t>Roklen</w:t>
      </w:r>
      <w:proofErr w:type="spellEnd"/>
      <w:r w:rsidRPr="00476B1F">
        <w:rPr>
          <w:rFonts w:ascii="inherit" w:eastAsia="Times New Roman" w:hAnsi="inherit" w:cs="Arial"/>
          <w:b/>
          <w:bCs/>
          <w:color w:val="51534A"/>
          <w:sz w:val="23"/>
          <w:szCs w:val="23"/>
          <w:bdr w:val="none" w:sz="0" w:space="0" w:color="auto" w:frame="1"/>
          <w:lang w:eastAsia="cs-CZ"/>
        </w:rPr>
        <w:t xml:space="preserve"> má oddělení </w:t>
      </w:r>
      <w:hyperlink r:id="rId5" w:tgtFrame="_blank" w:history="1">
        <w:r w:rsidRPr="00476B1F">
          <w:rPr>
            <w:rFonts w:ascii="inherit" w:eastAsia="Times New Roman" w:hAnsi="inherit" w:cs="Arial"/>
            <w:b/>
            <w:bCs/>
            <w:color w:val="428BCA"/>
            <w:sz w:val="23"/>
            <w:szCs w:val="23"/>
            <w:bdr w:val="none" w:sz="0" w:space="0" w:color="auto" w:frame="1"/>
            <w:lang w:eastAsia="cs-CZ"/>
          </w:rPr>
          <w:t>Corporate Finance</w:t>
        </w:r>
      </w:hyperlink>
      <w:r w:rsidRPr="00476B1F">
        <w:rPr>
          <w:rFonts w:ascii="inherit" w:eastAsia="Times New Roman" w:hAnsi="inherit" w:cs="Arial"/>
          <w:color w:val="51534A"/>
          <w:sz w:val="23"/>
          <w:szCs w:val="23"/>
          <w:lang w:eastAsia="cs-CZ"/>
        </w:rPr>
        <w:t>  </w:t>
      </w:r>
      <w:r w:rsidRPr="00476B1F">
        <w:rPr>
          <w:rFonts w:ascii="inherit" w:eastAsia="Times New Roman" w:hAnsi="inherit" w:cs="Arial"/>
          <w:b/>
          <w:bCs/>
          <w:color w:val="51534A"/>
          <w:sz w:val="23"/>
          <w:szCs w:val="23"/>
          <w:bdr w:val="none" w:sz="0" w:space="0" w:color="auto" w:frame="1"/>
          <w:lang w:eastAsia="cs-CZ"/>
        </w:rPr>
        <w:t>specializující se na prodeje a nákupy společností.</w:t>
      </w:r>
      <w:r w:rsidRPr="00476B1F">
        <w:rPr>
          <w:rFonts w:ascii="inherit" w:eastAsia="Times New Roman" w:hAnsi="inherit" w:cs="Arial"/>
          <w:color w:val="51534A"/>
          <w:sz w:val="23"/>
          <w:szCs w:val="23"/>
          <w:lang w:eastAsia="cs-CZ"/>
        </w:rPr>
        <w:t> </w:t>
      </w:r>
      <w:r w:rsidRPr="00476B1F">
        <w:rPr>
          <w:rFonts w:ascii="inherit" w:eastAsia="Times New Roman" w:hAnsi="inherit" w:cs="Arial"/>
          <w:color w:val="51534A"/>
          <w:sz w:val="23"/>
          <w:szCs w:val="23"/>
          <w:lang w:eastAsia="cs-CZ"/>
        </w:rPr>
        <w:br/>
        <w:t>Tým specialistů má v roce 2019 již za sebou první transakci a v minulém roce jich dokončili úspěšně sedm. I Vám poradí jak postupovat s prodejem společnosti a zhodnotit Vaše podnikatelské úsilí. Kontakt na čísle (+420) 236 071 606 nebo na  </w:t>
      </w:r>
      <w:hyperlink r:id="rId6" w:tgtFrame="_blank" w:tooltip="Send email to cf@roklen.cz" w:history="1">
        <w:r w:rsidRPr="00476B1F">
          <w:rPr>
            <w:rFonts w:ascii="inherit" w:eastAsia="Times New Roman" w:hAnsi="inherit" w:cs="Arial"/>
            <w:color w:val="428BCA"/>
            <w:sz w:val="23"/>
            <w:szCs w:val="23"/>
            <w:bdr w:val="none" w:sz="0" w:space="0" w:color="auto" w:frame="1"/>
            <w:lang w:eastAsia="cs-CZ"/>
          </w:rPr>
          <w:t>cf@roklen.cz</w:t>
        </w:r>
      </w:hyperlink>
    </w:p>
    <w:p w:rsidR="00476B1F" w:rsidRPr="00476B1F" w:rsidRDefault="00476B1F" w:rsidP="00476B1F">
      <w:pPr>
        <w:shd w:val="clear" w:color="auto" w:fill="FFFFFF"/>
        <w:spacing w:after="600" w:line="312" w:lineRule="atLeast"/>
        <w:textAlignment w:val="baseline"/>
        <w:rPr>
          <w:rFonts w:ascii="sans serif" w:eastAsia="Times New Roman" w:hAnsi="sans serif" w:cs="Arial"/>
          <w:color w:val="51534A"/>
          <w:sz w:val="27"/>
          <w:szCs w:val="27"/>
          <w:lang w:eastAsia="cs-CZ"/>
        </w:rPr>
      </w:pPr>
      <w:r w:rsidRPr="00476B1F">
        <w:rPr>
          <w:rFonts w:ascii="sans serif" w:eastAsia="Times New Roman" w:hAnsi="sans serif" w:cs="Arial"/>
          <w:color w:val="51534A"/>
          <w:sz w:val="27"/>
          <w:szCs w:val="27"/>
          <w:lang w:eastAsia="cs-CZ"/>
        </w:rPr>
        <w:t> </w:t>
      </w:r>
    </w:p>
    <w:p w:rsidR="00476B1F" w:rsidRPr="00476B1F" w:rsidRDefault="00476B1F" w:rsidP="00476B1F">
      <w:pPr>
        <w:shd w:val="clear" w:color="auto" w:fill="FFFFFF"/>
        <w:spacing w:line="312" w:lineRule="atLeast"/>
        <w:textAlignment w:val="baseline"/>
        <w:rPr>
          <w:rFonts w:ascii="sans serif" w:eastAsia="Times New Roman" w:hAnsi="sans serif" w:cs="Arial"/>
          <w:color w:val="FF585D"/>
          <w:sz w:val="27"/>
          <w:szCs w:val="27"/>
          <w:lang w:eastAsia="cs-CZ"/>
        </w:rPr>
      </w:pPr>
      <w:r w:rsidRPr="00476B1F">
        <w:rPr>
          <w:rFonts w:ascii="inherit" w:eastAsia="Times New Roman" w:hAnsi="inherit" w:cs="Arial"/>
          <w:b/>
          <w:bCs/>
          <w:color w:val="FF585D"/>
          <w:sz w:val="27"/>
          <w:szCs w:val="27"/>
          <w:bdr w:val="none" w:sz="0" w:space="0" w:color="auto" w:frame="1"/>
          <w:lang w:eastAsia="cs-CZ"/>
        </w:rPr>
        <w:t>K nejzajímavějším obchodům v regionu v 1H 2019 patří:</w:t>
      </w:r>
    </w:p>
    <w:p w:rsidR="00476B1F" w:rsidRPr="00476B1F" w:rsidRDefault="00476B1F" w:rsidP="00476B1F">
      <w:pPr>
        <w:shd w:val="clear" w:color="auto" w:fill="FFFFFF"/>
        <w:spacing w:after="0" w:line="312" w:lineRule="atLeast"/>
        <w:textAlignment w:val="baseline"/>
        <w:rPr>
          <w:rFonts w:ascii="sans serif" w:eastAsia="Times New Roman" w:hAnsi="sans serif" w:cs="Arial"/>
          <w:color w:val="51534A"/>
          <w:sz w:val="27"/>
          <w:szCs w:val="27"/>
          <w:lang w:eastAsia="cs-CZ"/>
        </w:rPr>
      </w:pPr>
      <w:proofErr w:type="spellStart"/>
      <w:r w:rsidRPr="00476B1F">
        <w:rPr>
          <w:rFonts w:ascii="inherit" w:eastAsia="Times New Roman" w:hAnsi="inherit" w:cs="Arial"/>
          <w:b/>
          <w:bCs/>
          <w:color w:val="51534A"/>
          <w:sz w:val="27"/>
          <w:szCs w:val="27"/>
          <w:bdr w:val="none" w:sz="0" w:space="0" w:color="auto" w:frame="1"/>
          <w:lang w:eastAsia="cs-CZ"/>
        </w:rPr>
        <w:t>innogy</w:t>
      </w:r>
      <w:proofErr w:type="spellEnd"/>
      <w:r w:rsidRPr="00476B1F">
        <w:rPr>
          <w:rFonts w:ascii="inherit" w:eastAsia="Times New Roman" w:hAnsi="inherit" w:cs="Arial"/>
          <w:b/>
          <w:bCs/>
          <w:color w:val="51534A"/>
          <w:sz w:val="27"/>
          <w:szCs w:val="27"/>
          <w:bdr w:val="none" w:sz="0" w:space="0" w:color="auto" w:frame="1"/>
          <w:lang w:eastAsia="cs-CZ"/>
        </w:rPr>
        <w:t xml:space="preserve"> </w:t>
      </w:r>
      <w:proofErr w:type="spellStart"/>
      <w:r w:rsidRPr="00476B1F">
        <w:rPr>
          <w:rFonts w:ascii="inherit" w:eastAsia="Times New Roman" w:hAnsi="inherit" w:cs="Arial"/>
          <w:b/>
          <w:bCs/>
          <w:color w:val="51534A"/>
          <w:sz w:val="27"/>
          <w:szCs w:val="27"/>
          <w:bdr w:val="none" w:sz="0" w:space="0" w:color="auto" w:frame="1"/>
          <w:lang w:eastAsia="cs-CZ"/>
        </w:rPr>
        <w:t>Grid</w:t>
      </w:r>
      <w:proofErr w:type="spellEnd"/>
      <w:r w:rsidRPr="00476B1F">
        <w:rPr>
          <w:rFonts w:ascii="inherit" w:eastAsia="Times New Roman" w:hAnsi="inherit" w:cs="Arial"/>
          <w:b/>
          <w:bCs/>
          <w:color w:val="51534A"/>
          <w:sz w:val="27"/>
          <w:szCs w:val="27"/>
          <w:bdr w:val="none" w:sz="0" w:space="0" w:color="auto" w:frame="1"/>
          <w:lang w:eastAsia="cs-CZ"/>
        </w:rPr>
        <w:t xml:space="preserve"> Holding – Česká republika, cena 1 800 mil. eur</w:t>
      </w:r>
    </w:p>
    <w:p w:rsidR="00476B1F" w:rsidRPr="00476B1F" w:rsidRDefault="00476B1F" w:rsidP="00476B1F">
      <w:pPr>
        <w:shd w:val="clear" w:color="auto" w:fill="FFFFFF"/>
        <w:spacing w:after="600" w:line="312" w:lineRule="atLeast"/>
        <w:textAlignment w:val="baseline"/>
        <w:rPr>
          <w:rFonts w:ascii="sans serif" w:eastAsia="Times New Roman" w:hAnsi="sans serif" w:cs="Arial"/>
          <w:color w:val="51534A"/>
          <w:sz w:val="27"/>
          <w:szCs w:val="27"/>
          <w:lang w:eastAsia="cs-CZ"/>
        </w:rPr>
      </w:pPr>
      <w:r w:rsidRPr="00476B1F">
        <w:rPr>
          <w:rFonts w:ascii="sans serif" w:eastAsia="Times New Roman" w:hAnsi="sans serif" w:cs="Arial"/>
          <w:color w:val="51534A"/>
          <w:sz w:val="27"/>
          <w:szCs w:val="27"/>
          <w:lang w:eastAsia="cs-CZ"/>
        </w:rPr>
        <w:t xml:space="preserve">Nejobjemnější transakcí prvního pololetí roku 2019 byl prodej 50,04% podílu na české společnosti </w:t>
      </w:r>
      <w:proofErr w:type="spellStart"/>
      <w:r w:rsidRPr="00476B1F">
        <w:rPr>
          <w:rFonts w:ascii="sans serif" w:eastAsia="Times New Roman" w:hAnsi="sans serif" w:cs="Arial"/>
          <w:color w:val="51534A"/>
          <w:sz w:val="27"/>
          <w:szCs w:val="27"/>
          <w:lang w:eastAsia="cs-CZ"/>
        </w:rPr>
        <w:t>innogy</w:t>
      </w:r>
      <w:proofErr w:type="spellEnd"/>
      <w:r w:rsidRPr="00476B1F">
        <w:rPr>
          <w:rFonts w:ascii="sans serif" w:eastAsia="Times New Roman" w:hAnsi="sans serif" w:cs="Arial"/>
          <w:color w:val="51534A"/>
          <w:sz w:val="27"/>
          <w:szCs w:val="27"/>
          <w:lang w:eastAsia="cs-CZ"/>
        </w:rPr>
        <w:t xml:space="preserve"> </w:t>
      </w:r>
      <w:proofErr w:type="spellStart"/>
      <w:r w:rsidRPr="00476B1F">
        <w:rPr>
          <w:rFonts w:ascii="sans serif" w:eastAsia="Times New Roman" w:hAnsi="sans serif" w:cs="Arial"/>
          <w:color w:val="51534A"/>
          <w:sz w:val="27"/>
          <w:szCs w:val="27"/>
          <w:lang w:eastAsia="cs-CZ"/>
        </w:rPr>
        <w:t>Grid</w:t>
      </w:r>
      <w:proofErr w:type="spellEnd"/>
      <w:r w:rsidRPr="00476B1F">
        <w:rPr>
          <w:rFonts w:ascii="sans serif" w:eastAsia="Times New Roman" w:hAnsi="sans serif" w:cs="Arial"/>
          <w:color w:val="51534A"/>
          <w:sz w:val="27"/>
          <w:szCs w:val="27"/>
          <w:lang w:eastAsia="cs-CZ"/>
        </w:rPr>
        <w:t xml:space="preserve"> Holding, a.s., do rukou australského sdružení investorů </w:t>
      </w:r>
      <w:proofErr w:type="spellStart"/>
      <w:r w:rsidRPr="00476B1F">
        <w:rPr>
          <w:rFonts w:ascii="sans serif" w:eastAsia="Times New Roman" w:hAnsi="sans serif" w:cs="Arial"/>
          <w:color w:val="51534A"/>
          <w:sz w:val="27"/>
          <w:szCs w:val="27"/>
          <w:lang w:eastAsia="cs-CZ"/>
        </w:rPr>
        <w:t>Macquarie</w:t>
      </w:r>
      <w:proofErr w:type="spellEnd"/>
      <w:r w:rsidRPr="00476B1F">
        <w:rPr>
          <w:rFonts w:ascii="sans serif" w:eastAsia="Times New Roman" w:hAnsi="sans serif" w:cs="Arial"/>
          <w:color w:val="51534A"/>
          <w:sz w:val="27"/>
          <w:szCs w:val="27"/>
          <w:lang w:eastAsia="cs-CZ"/>
        </w:rPr>
        <w:t xml:space="preserve"> </w:t>
      </w:r>
      <w:proofErr w:type="spellStart"/>
      <w:r w:rsidRPr="00476B1F">
        <w:rPr>
          <w:rFonts w:ascii="sans serif" w:eastAsia="Times New Roman" w:hAnsi="sans serif" w:cs="Arial"/>
          <w:color w:val="51534A"/>
          <w:sz w:val="27"/>
          <w:szCs w:val="27"/>
          <w:lang w:eastAsia="cs-CZ"/>
        </w:rPr>
        <w:t>Infrastructure</w:t>
      </w:r>
      <w:proofErr w:type="spellEnd"/>
      <w:r w:rsidRPr="00476B1F">
        <w:rPr>
          <w:rFonts w:ascii="sans serif" w:eastAsia="Times New Roman" w:hAnsi="sans serif" w:cs="Arial"/>
          <w:color w:val="51534A"/>
          <w:sz w:val="27"/>
          <w:szCs w:val="27"/>
          <w:lang w:eastAsia="cs-CZ"/>
        </w:rPr>
        <w:t xml:space="preserve"> and Real </w:t>
      </w:r>
      <w:proofErr w:type="spellStart"/>
      <w:r w:rsidRPr="00476B1F">
        <w:rPr>
          <w:rFonts w:ascii="sans serif" w:eastAsia="Times New Roman" w:hAnsi="sans serif" w:cs="Arial"/>
          <w:color w:val="51534A"/>
          <w:sz w:val="27"/>
          <w:szCs w:val="27"/>
          <w:lang w:eastAsia="cs-CZ"/>
        </w:rPr>
        <w:t>Assets</w:t>
      </w:r>
      <w:proofErr w:type="spellEnd"/>
      <w:r w:rsidRPr="00476B1F">
        <w:rPr>
          <w:rFonts w:ascii="sans serif" w:eastAsia="Times New Roman" w:hAnsi="sans serif" w:cs="Arial"/>
          <w:color w:val="51534A"/>
          <w:sz w:val="27"/>
          <w:szCs w:val="27"/>
          <w:lang w:eastAsia="cs-CZ"/>
        </w:rPr>
        <w:t xml:space="preserve"> operujícího pod investiční bankou </w:t>
      </w:r>
      <w:proofErr w:type="spellStart"/>
      <w:r w:rsidRPr="00476B1F">
        <w:rPr>
          <w:rFonts w:ascii="sans serif" w:eastAsia="Times New Roman" w:hAnsi="sans serif" w:cs="Arial"/>
          <w:color w:val="51534A"/>
          <w:sz w:val="27"/>
          <w:szCs w:val="27"/>
          <w:lang w:eastAsia="cs-CZ"/>
        </w:rPr>
        <w:t>Macquarie</w:t>
      </w:r>
      <w:proofErr w:type="spellEnd"/>
      <w:r w:rsidRPr="00476B1F">
        <w:rPr>
          <w:rFonts w:ascii="sans serif" w:eastAsia="Times New Roman" w:hAnsi="sans serif" w:cs="Arial"/>
          <w:color w:val="51534A"/>
          <w:sz w:val="27"/>
          <w:szCs w:val="27"/>
          <w:lang w:eastAsia="cs-CZ"/>
        </w:rPr>
        <w:t xml:space="preserve"> Group. Sdružení se touto transakcí stalo 100% vlastníkem. </w:t>
      </w:r>
      <w:proofErr w:type="spellStart"/>
      <w:r w:rsidRPr="00476B1F">
        <w:rPr>
          <w:rFonts w:ascii="sans serif" w:eastAsia="Times New Roman" w:hAnsi="sans serif" w:cs="Arial"/>
          <w:color w:val="51534A"/>
          <w:sz w:val="27"/>
          <w:szCs w:val="27"/>
          <w:lang w:eastAsia="cs-CZ"/>
        </w:rPr>
        <w:t>Innogy</w:t>
      </w:r>
      <w:proofErr w:type="spellEnd"/>
      <w:r w:rsidRPr="00476B1F">
        <w:rPr>
          <w:rFonts w:ascii="sans serif" w:eastAsia="Times New Roman" w:hAnsi="sans serif" w:cs="Arial"/>
          <w:color w:val="51534A"/>
          <w:sz w:val="27"/>
          <w:szCs w:val="27"/>
          <w:lang w:eastAsia="cs-CZ"/>
        </w:rPr>
        <w:t xml:space="preserve"> </w:t>
      </w:r>
      <w:proofErr w:type="spellStart"/>
      <w:r w:rsidRPr="00476B1F">
        <w:rPr>
          <w:rFonts w:ascii="sans serif" w:eastAsia="Times New Roman" w:hAnsi="sans serif" w:cs="Arial"/>
          <w:color w:val="51534A"/>
          <w:sz w:val="27"/>
          <w:szCs w:val="27"/>
          <w:lang w:eastAsia="cs-CZ"/>
        </w:rPr>
        <w:t>Grid</w:t>
      </w:r>
      <w:proofErr w:type="spellEnd"/>
      <w:r w:rsidRPr="00476B1F">
        <w:rPr>
          <w:rFonts w:ascii="sans serif" w:eastAsia="Times New Roman" w:hAnsi="sans serif" w:cs="Arial"/>
          <w:color w:val="51534A"/>
          <w:sz w:val="27"/>
          <w:szCs w:val="27"/>
          <w:lang w:eastAsia="cs-CZ"/>
        </w:rPr>
        <w:t xml:space="preserve"> Holding skrze svou dceřinou společnost </w:t>
      </w:r>
      <w:proofErr w:type="spellStart"/>
      <w:r w:rsidRPr="00476B1F">
        <w:rPr>
          <w:rFonts w:ascii="sans serif" w:eastAsia="Times New Roman" w:hAnsi="sans serif" w:cs="Arial"/>
          <w:color w:val="51534A"/>
          <w:sz w:val="27"/>
          <w:szCs w:val="27"/>
          <w:lang w:eastAsia="cs-CZ"/>
        </w:rPr>
        <w:t>GasNet</w:t>
      </w:r>
      <w:proofErr w:type="spellEnd"/>
      <w:r w:rsidRPr="00476B1F">
        <w:rPr>
          <w:rFonts w:ascii="sans serif" w:eastAsia="Times New Roman" w:hAnsi="sans serif" w:cs="Arial"/>
          <w:color w:val="51534A"/>
          <w:sz w:val="27"/>
          <w:szCs w:val="27"/>
          <w:lang w:eastAsia="cs-CZ"/>
        </w:rPr>
        <w:t>, s.r.o., distribuuje zemní plyn v České republice, s výjimkou Jihočeského kraje a hlavního města, ve kterých operují konkurenční společnosti. Společnost v rámci cca 65 tisíc kilometrů dlouhé sítě zásobuje 2,3 milionu připojení. Hodnota transakce dosáhla 1,8 mld. eur.</w:t>
      </w:r>
    </w:p>
    <w:p w:rsidR="00476B1F" w:rsidRPr="00476B1F" w:rsidRDefault="00476B1F" w:rsidP="00476B1F">
      <w:pPr>
        <w:shd w:val="clear" w:color="auto" w:fill="FFFFFF"/>
        <w:spacing w:after="0" w:line="312" w:lineRule="atLeast"/>
        <w:textAlignment w:val="baseline"/>
        <w:rPr>
          <w:rFonts w:ascii="sans serif" w:eastAsia="Times New Roman" w:hAnsi="sans serif" w:cs="Arial"/>
          <w:color w:val="51534A"/>
          <w:sz w:val="27"/>
          <w:szCs w:val="27"/>
          <w:lang w:eastAsia="cs-CZ"/>
        </w:rPr>
      </w:pPr>
      <w:r w:rsidRPr="00476B1F">
        <w:rPr>
          <w:rFonts w:ascii="inherit" w:eastAsia="Times New Roman" w:hAnsi="inherit" w:cs="Arial"/>
          <w:b/>
          <w:bCs/>
          <w:color w:val="51534A"/>
          <w:sz w:val="27"/>
          <w:szCs w:val="27"/>
          <w:bdr w:val="none" w:sz="0" w:space="0" w:color="auto" w:frame="1"/>
          <w:lang w:eastAsia="cs-CZ"/>
        </w:rPr>
        <w:t>Kiwi.com – Česká republika, cena 116 mil. eur</w:t>
      </w:r>
    </w:p>
    <w:p w:rsidR="00476B1F" w:rsidRPr="00476B1F" w:rsidRDefault="00476B1F" w:rsidP="00476B1F">
      <w:pPr>
        <w:shd w:val="clear" w:color="auto" w:fill="FFFFFF"/>
        <w:spacing w:after="600" w:line="312" w:lineRule="atLeast"/>
        <w:textAlignment w:val="baseline"/>
        <w:rPr>
          <w:rFonts w:ascii="sans serif" w:eastAsia="Times New Roman" w:hAnsi="sans serif" w:cs="Arial"/>
          <w:color w:val="51534A"/>
          <w:sz w:val="27"/>
          <w:szCs w:val="27"/>
          <w:lang w:eastAsia="cs-CZ"/>
        </w:rPr>
      </w:pPr>
      <w:r w:rsidRPr="00476B1F">
        <w:rPr>
          <w:rFonts w:ascii="sans serif" w:eastAsia="Times New Roman" w:hAnsi="sans serif" w:cs="Arial"/>
          <w:color w:val="51534A"/>
          <w:sz w:val="27"/>
          <w:szCs w:val="27"/>
          <w:lang w:eastAsia="cs-CZ"/>
        </w:rPr>
        <w:t xml:space="preserve">Americká investiční společnost General </w:t>
      </w:r>
      <w:proofErr w:type="spellStart"/>
      <w:r w:rsidRPr="00476B1F">
        <w:rPr>
          <w:rFonts w:ascii="sans serif" w:eastAsia="Times New Roman" w:hAnsi="sans serif" w:cs="Arial"/>
          <w:color w:val="51534A"/>
          <w:sz w:val="27"/>
          <w:szCs w:val="27"/>
          <w:lang w:eastAsia="cs-CZ"/>
        </w:rPr>
        <w:t>Atlantic</w:t>
      </w:r>
      <w:proofErr w:type="spellEnd"/>
      <w:r w:rsidRPr="00476B1F">
        <w:rPr>
          <w:rFonts w:ascii="sans serif" w:eastAsia="Times New Roman" w:hAnsi="sans serif" w:cs="Arial"/>
          <w:color w:val="51534A"/>
          <w:sz w:val="27"/>
          <w:szCs w:val="27"/>
          <w:lang w:eastAsia="cs-CZ"/>
        </w:rPr>
        <w:t xml:space="preserve"> </w:t>
      </w:r>
      <w:proofErr w:type="spellStart"/>
      <w:r w:rsidRPr="00476B1F">
        <w:rPr>
          <w:rFonts w:ascii="sans serif" w:eastAsia="Times New Roman" w:hAnsi="sans serif" w:cs="Arial"/>
          <w:color w:val="51534A"/>
          <w:sz w:val="27"/>
          <w:szCs w:val="27"/>
          <w:lang w:eastAsia="cs-CZ"/>
        </w:rPr>
        <w:t>Service</w:t>
      </w:r>
      <w:proofErr w:type="spellEnd"/>
      <w:r w:rsidRPr="00476B1F">
        <w:rPr>
          <w:rFonts w:ascii="sans serif" w:eastAsia="Times New Roman" w:hAnsi="sans serif" w:cs="Arial"/>
          <w:color w:val="51534A"/>
          <w:sz w:val="27"/>
          <w:szCs w:val="27"/>
          <w:lang w:eastAsia="cs-CZ"/>
        </w:rPr>
        <w:t xml:space="preserve"> </w:t>
      </w:r>
      <w:proofErr w:type="spellStart"/>
      <w:r w:rsidRPr="00476B1F">
        <w:rPr>
          <w:rFonts w:ascii="sans serif" w:eastAsia="Times New Roman" w:hAnsi="sans serif" w:cs="Arial"/>
          <w:color w:val="51534A"/>
          <w:sz w:val="27"/>
          <w:szCs w:val="27"/>
          <w:lang w:eastAsia="cs-CZ"/>
        </w:rPr>
        <w:t>Comapy</w:t>
      </w:r>
      <w:proofErr w:type="spellEnd"/>
      <w:r w:rsidRPr="00476B1F">
        <w:rPr>
          <w:rFonts w:ascii="sans serif" w:eastAsia="Times New Roman" w:hAnsi="sans serif" w:cs="Arial"/>
          <w:color w:val="51534A"/>
          <w:sz w:val="27"/>
          <w:szCs w:val="27"/>
          <w:lang w:eastAsia="cs-CZ"/>
        </w:rPr>
        <w:t xml:space="preserve">, </w:t>
      </w:r>
      <w:proofErr w:type="gramStart"/>
      <w:r w:rsidRPr="00476B1F">
        <w:rPr>
          <w:rFonts w:ascii="sans serif" w:eastAsia="Times New Roman" w:hAnsi="sans serif" w:cs="Arial"/>
          <w:color w:val="51534A"/>
          <w:sz w:val="27"/>
          <w:szCs w:val="27"/>
          <w:lang w:eastAsia="cs-CZ"/>
        </w:rPr>
        <w:t>L.P.</w:t>
      </w:r>
      <w:proofErr w:type="gramEnd"/>
      <w:r w:rsidRPr="00476B1F">
        <w:rPr>
          <w:rFonts w:ascii="sans serif" w:eastAsia="Times New Roman" w:hAnsi="sans serif" w:cs="Arial"/>
          <w:color w:val="51534A"/>
          <w:sz w:val="27"/>
          <w:szCs w:val="27"/>
          <w:lang w:eastAsia="cs-CZ"/>
        </w:rPr>
        <w:t xml:space="preserve">, koupila za cca 116 mil. eur 51% podíl v české společnosti Kiwi.com, s.r.o. Kiwi.com provozuje vyhledávač dopravních spojení společností, které spolu obvykle nijak nespolupracují, přičemž do vyhledávání jsou zahrnuty téměř všechny druhy hromadných dopravních prostředků. Vedle vyhledávání platforma zprostředkovává ve spolupráci s jinými webovými stránkami ubytování či pronájem aut. Tím cestovatelům zjednodušuje a zlevňuje cestování. Společnost byla založena pod názvem </w:t>
      </w:r>
      <w:proofErr w:type="spellStart"/>
      <w:r w:rsidRPr="00476B1F">
        <w:rPr>
          <w:rFonts w:ascii="sans serif" w:eastAsia="Times New Roman" w:hAnsi="sans serif" w:cs="Arial"/>
          <w:color w:val="51534A"/>
          <w:sz w:val="27"/>
          <w:szCs w:val="27"/>
          <w:lang w:eastAsia="cs-CZ"/>
        </w:rPr>
        <w:t>Skypicker</w:t>
      </w:r>
      <w:proofErr w:type="spellEnd"/>
      <w:r w:rsidRPr="00476B1F">
        <w:rPr>
          <w:rFonts w:ascii="sans serif" w:eastAsia="Times New Roman" w:hAnsi="sans serif" w:cs="Arial"/>
          <w:color w:val="51534A"/>
          <w:sz w:val="27"/>
          <w:szCs w:val="27"/>
          <w:lang w:eastAsia="cs-CZ"/>
        </w:rPr>
        <w:t xml:space="preserve"> v roce 2012 jako vyhledávač levných letenek a již od počátku se jednalo o velmi úspěšný start-up, který byl už od prvních let v zisku. Navíc, od počátku existence společnosti bylo do jejího fungování investováno pouze 1,4 mil. USD.</w:t>
      </w:r>
    </w:p>
    <w:p w:rsidR="00476B1F" w:rsidRPr="00476B1F" w:rsidRDefault="00476B1F" w:rsidP="00476B1F">
      <w:pPr>
        <w:shd w:val="clear" w:color="auto" w:fill="FFFFFF"/>
        <w:spacing w:after="0" w:line="312" w:lineRule="atLeast"/>
        <w:textAlignment w:val="baseline"/>
        <w:rPr>
          <w:rFonts w:ascii="sans serif" w:eastAsia="Times New Roman" w:hAnsi="sans serif" w:cs="Arial"/>
          <w:color w:val="51534A"/>
          <w:sz w:val="27"/>
          <w:szCs w:val="27"/>
          <w:lang w:eastAsia="cs-CZ"/>
        </w:rPr>
      </w:pPr>
      <w:proofErr w:type="spellStart"/>
      <w:r w:rsidRPr="00476B1F">
        <w:rPr>
          <w:rFonts w:ascii="inherit" w:eastAsia="Times New Roman" w:hAnsi="inherit" w:cs="Arial"/>
          <w:b/>
          <w:bCs/>
          <w:color w:val="51534A"/>
          <w:sz w:val="27"/>
          <w:szCs w:val="27"/>
          <w:bdr w:val="none" w:sz="0" w:space="0" w:color="auto" w:frame="1"/>
          <w:lang w:eastAsia="cs-CZ"/>
        </w:rPr>
        <w:t>Warhouse</w:t>
      </w:r>
      <w:proofErr w:type="spellEnd"/>
      <w:r w:rsidRPr="00476B1F">
        <w:rPr>
          <w:rFonts w:ascii="inherit" w:eastAsia="Times New Roman" w:hAnsi="inherit" w:cs="Arial"/>
          <w:b/>
          <w:bCs/>
          <w:color w:val="51534A"/>
          <w:sz w:val="27"/>
          <w:szCs w:val="27"/>
          <w:bdr w:val="none" w:sz="0" w:space="0" w:color="auto" w:frame="1"/>
          <w:lang w:eastAsia="cs-CZ"/>
        </w:rPr>
        <w:t xml:space="preserve"> </w:t>
      </w:r>
      <w:proofErr w:type="spellStart"/>
      <w:r w:rsidRPr="00476B1F">
        <w:rPr>
          <w:rFonts w:ascii="inherit" w:eastAsia="Times New Roman" w:hAnsi="inherit" w:cs="Arial"/>
          <w:b/>
          <w:bCs/>
          <w:color w:val="51534A"/>
          <w:sz w:val="27"/>
          <w:szCs w:val="27"/>
          <w:bdr w:val="none" w:sz="0" w:space="0" w:color="auto" w:frame="1"/>
          <w:lang w:eastAsia="cs-CZ"/>
        </w:rPr>
        <w:t>Studios</w:t>
      </w:r>
      <w:proofErr w:type="spellEnd"/>
      <w:r w:rsidRPr="00476B1F">
        <w:rPr>
          <w:rFonts w:ascii="inherit" w:eastAsia="Times New Roman" w:hAnsi="inherit" w:cs="Arial"/>
          <w:b/>
          <w:bCs/>
          <w:color w:val="51534A"/>
          <w:sz w:val="27"/>
          <w:szCs w:val="27"/>
          <w:bdr w:val="none" w:sz="0" w:space="0" w:color="auto" w:frame="1"/>
          <w:lang w:eastAsia="cs-CZ"/>
        </w:rPr>
        <w:t xml:space="preserve"> – Česká republika, cena 33 mil. eur</w:t>
      </w:r>
    </w:p>
    <w:p w:rsidR="00476B1F" w:rsidRPr="00476B1F" w:rsidRDefault="00476B1F" w:rsidP="00476B1F">
      <w:pPr>
        <w:shd w:val="clear" w:color="auto" w:fill="FFFFFF"/>
        <w:spacing w:after="600" w:line="312" w:lineRule="atLeast"/>
        <w:textAlignment w:val="baseline"/>
        <w:rPr>
          <w:rFonts w:ascii="sans serif" w:eastAsia="Times New Roman" w:hAnsi="sans serif" w:cs="Arial"/>
          <w:color w:val="51534A"/>
          <w:sz w:val="27"/>
          <w:szCs w:val="27"/>
          <w:lang w:eastAsia="cs-CZ"/>
        </w:rPr>
      </w:pPr>
      <w:r w:rsidRPr="00476B1F">
        <w:rPr>
          <w:rFonts w:ascii="sans serif" w:eastAsia="Times New Roman" w:hAnsi="sans serif" w:cs="Arial"/>
          <w:color w:val="51534A"/>
          <w:sz w:val="27"/>
          <w:szCs w:val="27"/>
          <w:lang w:eastAsia="cs-CZ"/>
        </w:rPr>
        <w:t xml:space="preserve">Rakousko-německá společnost Koch Media </w:t>
      </w:r>
      <w:proofErr w:type="spellStart"/>
      <w:r w:rsidRPr="00476B1F">
        <w:rPr>
          <w:rFonts w:ascii="sans serif" w:eastAsia="Times New Roman" w:hAnsi="sans serif" w:cs="Arial"/>
          <w:color w:val="51534A"/>
          <w:sz w:val="27"/>
          <w:szCs w:val="27"/>
          <w:lang w:eastAsia="cs-CZ"/>
        </w:rPr>
        <w:t>GmbH</w:t>
      </w:r>
      <w:proofErr w:type="spellEnd"/>
      <w:r w:rsidRPr="00476B1F">
        <w:rPr>
          <w:rFonts w:ascii="sans serif" w:eastAsia="Times New Roman" w:hAnsi="sans serif" w:cs="Arial"/>
          <w:color w:val="51534A"/>
          <w:sz w:val="27"/>
          <w:szCs w:val="27"/>
          <w:lang w:eastAsia="cs-CZ"/>
        </w:rPr>
        <w:t xml:space="preserve"> koupila za 33 mil. eur české herní studio </w:t>
      </w:r>
      <w:proofErr w:type="spellStart"/>
      <w:r w:rsidRPr="00476B1F">
        <w:rPr>
          <w:rFonts w:ascii="sans serif" w:eastAsia="Times New Roman" w:hAnsi="sans serif" w:cs="Arial"/>
          <w:color w:val="51534A"/>
          <w:sz w:val="27"/>
          <w:szCs w:val="27"/>
          <w:lang w:eastAsia="cs-CZ"/>
        </w:rPr>
        <w:t>Warhorse</w:t>
      </w:r>
      <w:proofErr w:type="spellEnd"/>
      <w:r w:rsidRPr="00476B1F">
        <w:rPr>
          <w:rFonts w:ascii="sans serif" w:eastAsia="Times New Roman" w:hAnsi="sans serif" w:cs="Arial"/>
          <w:color w:val="51534A"/>
          <w:sz w:val="27"/>
          <w:szCs w:val="27"/>
          <w:lang w:eastAsia="cs-CZ"/>
        </w:rPr>
        <w:t xml:space="preserve"> </w:t>
      </w:r>
      <w:proofErr w:type="spellStart"/>
      <w:r w:rsidRPr="00476B1F">
        <w:rPr>
          <w:rFonts w:ascii="sans serif" w:eastAsia="Times New Roman" w:hAnsi="sans serif" w:cs="Arial"/>
          <w:color w:val="51534A"/>
          <w:sz w:val="27"/>
          <w:szCs w:val="27"/>
          <w:lang w:eastAsia="cs-CZ"/>
        </w:rPr>
        <w:t>Studios</w:t>
      </w:r>
      <w:proofErr w:type="spellEnd"/>
      <w:r w:rsidRPr="00476B1F">
        <w:rPr>
          <w:rFonts w:ascii="sans serif" w:eastAsia="Times New Roman" w:hAnsi="sans serif" w:cs="Arial"/>
          <w:color w:val="51534A"/>
          <w:sz w:val="27"/>
          <w:szCs w:val="27"/>
          <w:lang w:eastAsia="cs-CZ"/>
        </w:rPr>
        <w:t xml:space="preserve"> s.r.o. Ve společnosti držel 70% podíl podnikatel, investor a filantrop Zdeněk Bakala. V únoru 2018 studio vydalo RPG hru </w:t>
      </w:r>
      <w:proofErr w:type="spellStart"/>
      <w:r w:rsidRPr="00476B1F">
        <w:rPr>
          <w:rFonts w:ascii="sans serif" w:eastAsia="Times New Roman" w:hAnsi="sans serif" w:cs="Arial"/>
          <w:color w:val="51534A"/>
          <w:sz w:val="27"/>
          <w:szCs w:val="27"/>
          <w:lang w:eastAsia="cs-CZ"/>
        </w:rPr>
        <w:t>Kingdom</w:t>
      </w:r>
      <w:proofErr w:type="spellEnd"/>
      <w:r w:rsidRPr="00476B1F">
        <w:rPr>
          <w:rFonts w:ascii="sans serif" w:eastAsia="Times New Roman" w:hAnsi="sans serif" w:cs="Arial"/>
          <w:color w:val="51534A"/>
          <w:sz w:val="27"/>
          <w:szCs w:val="27"/>
          <w:lang w:eastAsia="cs-CZ"/>
        </w:rPr>
        <w:t xml:space="preserve"> </w:t>
      </w:r>
      <w:proofErr w:type="spellStart"/>
      <w:r w:rsidRPr="00476B1F">
        <w:rPr>
          <w:rFonts w:ascii="sans serif" w:eastAsia="Times New Roman" w:hAnsi="sans serif" w:cs="Arial"/>
          <w:color w:val="51534A"/>
          <w:sz w:val="27"/>
          <w:szCs w:val="27"/>
          <w:lang w:eastAsia="cs-CZ"/>
        </w:rPr>
        <w:t>Come</w:t>
      </w:r>
      <w:proofErr w:type="spellEnd"/>
      <w:r w:rsidRPr="00476B1F">
        <w:rPr>
          <w:rFonts w:ascii="sans serif" w:eastAsia="Times New Roman" w:hAnsi="sans serif" w:cs="Arial"/>
          <w:color w:val="51534A"/>
          <w:sz w:val="27"/>
          <w:szCs w:val="27"/>
          <w:lang w:eastAsia="cs-CZ"/>
        </w:rPr>
        <w:t xml:space="preserve">: </w:t>
      </w:r>
      <w:proofErr w:type="spellStart"/>
      <w:r w:rsidRPr="00476B1F">
        <w:rPr>
          <w:rFonts w:ascii="sans serif" w:eastAsia="Times New Roman" w:hAnsi="sans serif" w:cs="Arial"/>
          <w:color w:val="51534A"/>
          <w:sz w:val="27"/>
          <w:szCs w:val="27"/>
          <w:lang w:eastAsia="cs-CZ"/>
        </w:rPr>
        <w:t>Deliverance</w:t>
      </w:r>
      <w:proofErr w:type="spellEnd"/>
      <w:r w:rsidRPr="00476B1F">
        <w:rPr>
          <w:rFonts w:ascii="sans serif" w:eastAsia="Times New Roman" w:hAnsi="sans serif" w:cs="Arial"/>
          <w:color w:val="51534A"/>
          <w:sz w:val="27"/>
          <w:szCs w:val="27"/>
          <w:lang w:eastAsia="cs-CZ"/>
        </w:rPr>
        <w:t xml:space="preserve">, jejíž děj se odehrává ve středověkých Čechách. Vývoj hry měl </w:t>
      </w:r>
      <w:r w:rsidRPr="00476B1F">
        <w:rPr>
          <w:rFonts w:ascii="sans serif" w:eastAsia="Times New Roman" w:hAnsi="sans serif" w:cs="Arial"/>
          <w:color w:val="51534A"/>
          <w:sz w:val="27"/>
          <w:szCs w:val="27"/>
          <w:lang w:eastAsia="cs-CZ"/>
        </w:rPr>
        <w:lastRenderedPageBreak/>
        <w:t>velkou podporu na </w:t>
      </w:r>
      <w:proofErr w:type="spellStart"/>
      <w:r w:rsidRPr="00476B1F">
        <w:rPr>
          <w:rFonts w:ascii="sans serif" w:eastAsia="Times New Roman" w:hAnsi="sans serif" w:cs="Arial"/>
          <w:color w:val="51534A"/>
          <w:sz w:val="27"/>
          <w:szCs w:val="27"/>
          <w:lang w:eastAsia="cs-CZ"/>
        </w:rPr>
        <w:t>crowdfundingové</w:t>
      </w:r>
      <w:proofErr w:type="spellEnd"/>
      <w:r w:rsidRPr="00476B1F">
        <w:rPr>
          <w:rFonts w:ascii="sans serif" w:eastAsia="Times New Roman" w:hAnsi="sans serif" w:cs="Arial"/>
          <w:color w:val="51534A"/>
          <w:sz w:val="27"/>
          <w:szCs w:val="27"/>
          <w:lang w:eastAsia="cs-CZ"/>
        </w:rPr>
        <w:t xml:space="preserve"> platformě </w:t>
      </w:r>
      <w:proofErr w:type="spellStart"/>
      <w:r w:rsidRPr="00476B1F">
        <w:rPr>
          <w:rFonts w:ascii="sans serif" w:eastAsia="Times New Roman" w:hAnsi="sans serif" w:cs="Arial"/>
          <w:color w:val="51534A"/>
          <w:sz w:val="27"/>
          <w:szCs w:val="27"/>
          <w:lang w:eastAsia="cs-CZ"/>
        </w:rPr>
        <w:t>Kickstarter</w:t>
      </w:r>
      <w:proofErr w:type="spellEnd"/>
      <w:r w:rsidRPr="00476B1F">
        <w:rPr>
          <w:rFonts w:ascii="sans serif" w:eastAsia="Times New Roman" w:hAnsi="sans serif" w:cs="Arial"/>
          <w:color w:val="51534A"/>
          <w:sz w:val="27"/>
          <w:szCs w:val="27"/>
          <w:lang w:eastAsia="cs-CZ"/>
        </w:rPr>
        <w:t xml:space="preserve">, kde jej v roce 2015 individuální investoři podpořili částkou 1,4 mil. eur. Ke konci roku 2018 se prodalo více než dva miliony kopií a společnost tak pravděpodobně dosáhla tržeb ve výši 50–100 mil. eur. Za projektem </w:t>
      </w:r>
      <w:proofErr w:type="spellStart"/>
      <w:r w:rsidRPr="00476B1F">
        <w:rPr>
          <w:rFonts w:ascii="sans serif" w:eastAsia="Times New Roman" w:hAnsi="sans serif" w:cs="Arial"/>
          <w:color w:val="51534A"/>
          <w:sz w:val="27"/>
          <w:szCs w:val="27"/>
          <w:lang w:eastAsia="cs-CZ"/>
        </w:rPr>
        <w:t>Warhorse</w:t>
      </w:r>
      <w:proofErr w:type="spellEnd"/>
      <w:r w:rsidRPr="00476B1F">
        <w:rPr>
          <w:rFonts w:ascii="sans serif" w:eastAsia="Times New Roman" w:hAnsi="sans serif" w:cs="Arial"/>
          <w:color w:val="51534A"/>
          <w:sz w:val="27"/>
          <w:szCs w:val="27"/>
          <w:lang w:eastAsia="cs-CZ"/>
        </w:rPr>
        <w:t xml:space="preserve"> stojí tým, jehož členové se dříve podíleli na hrách velkých jmen jako je například Mafia nebo </w:t>
      </w:r>
      <w:proofErr w:type="spellStart"/>
      <w:r w:rsidRPr="00476B1F">
        <w:rPr>
          <w:rFonts w:ascii="sans serif" w:eastAsia="Times New Roman" w:hAnsi="sans serif" w:cs="Arial"/>
          <w:color w:val="51534A"/>
          <w:sz w:val="27"/>
          <w:szCs w:val="27"/>
          <w:lang w:eastAsia="cs-CZ"/>
        </w:rPr>
        <w:t>Flashpoint</w:t>
      </w:r>
      <w:proofErr w:type="spellEnd"/>
      <w:r w:rsidRPr="00476B1F">
        <w:rPr>
          <w:rFonts w:ascii="sans serif" w:eastAsia="Times New Roman" w:hAnsi="sans serif" w:cs="Arial"/>
          <w:color w:val="51534A"/>
          <w:sz w:val="27"/>
          <w:szCs w:val="27"/>
          <w:lang w:eastAsia="cs-CZ"/>
        </w:rPr>
        <w:t>, které jsou mezinárodně uznávané a prodaly se jich miliony kusů na různých platformách. Koch Media se kromě vývoje her zabývá také produkcí filmů a vývojem softwaru.</w:t>
      </w:r>
    </w:p>
    <w:p w:rsidR="00476B1F" w:rsidRPr="00476B1F" w:rsidRDefault="00476B1F" w:rsidP="00476B1F">
      <w:pPr>
        <w:shd w:val="clear" w:color="auto" w:fill="FFFFFF"/>
        <w:spacing w:after="0" w:line="312" w:lineRule="atLeast"/>
        <w:textAlignment w:val="baseline"/>
        <w:rPr>
          <w:rFonts w:ascii="sans serif" w:eastAsia="Times New Roman" w:hAnsi="sans serif" w:cs="Arial"/>
          <w:color w:val="51534A"/>
          <w:sz w:val="27"/>
          <w:szCs w:val="27"/>
          <w:lang w:eastAsia="cs-CZ"/>
        </w:rPr>
      </w:pPr>
      <w:r w:rsidRPr="00476B1F">
        <w:rPr>
          <w:rFonts w:ascii="inherit" w:eastAsia="Times New Roman" w:hAnsi="inherit" w:cs="Arial"/>
          <w:b/>
          <w:bCs/>
          <w:color w:val="51534A"/>
          <w:sz w:val="27"/>
          <w:szCs w:val="27"/>
          <w:bdr w:val="none" w:sz="0" w:space="0" w:color="auto" w:frame="1"/>
          <w:lang w:eastAsia="cs-CZ"/>
        </w:rPr>
        <w:t xml:space="preserve">DCT </w:t>
      </w:r>
      <w:proofErr w:type="spellStart"/>
      <w:r w:rsidRPr="00476B1F">
        <w:rPr>
          <w:rFonts w:ascii="inherit" w:eastAsia="Times New Roman" w:hAnsi="inherit" w:cs="Arial"/>
          <w:b/>
          <w:bCs/>
          <w:color w:val="51534A"/>
          <w:sz w:val="27"/>
          <w:szCs w:val="27"/>
          <w:bdr w:val="none" w:sz="0" w:space="0" w:color="auto" w:frame="1"/>
          <w:lang w:eastAsia="cs-CZ"/>
        </w:rPr>
        <w:t>Gdansk</w:t>
      </w:r>
      <w:proofErr w:type="spellEnd"/>
      <w:r w:rsidRPr="00476B1F">
        <w:rPr>
          <w:rFonts w:ascii="inherit" w:eastAsia="Times New Roman" w:hAnsi="inherit" w:cs="Arial"/>
          <w:b/>
          <w:bCs/>
          <w:color w:val="51534A"/>
          <w:sz w:val="27"/>
          <w:szCs w:val="27"/>
          <w:bdr w:val="none" w:sz="0" w:space="0" w:color="auto" w:frame="1"/>
          <w:lang w:eastAsia="cs-CZ"/>
        </w:rPr>
        <w:t xml:space="preserve"> – Polsko, cena 1.4 </w:t>
      </w:r>
      <w:proofErr w:type="spellStart"/>
      <w:r w:rsidRPr="00476B1F">
        <w:rPr>
          <w:rFonts w:ascii="inherit" w:eastAsia="Times New Roman" w:hAnsi="inherit" w:cs="Arial"/>
          <w:b/>
          <w:bCs/>
          <w:color w:val="51534A"/>
          <w:sz w:val="27"/>
          <w:szCs w:val="27"/>
          <w:bdr w:val="none" w:sz="0" w:space="0" w:color="auto" w:frame="1"/>
          <w:lang w:eastAsia="cs-CZ"/>
        </w:rPr>
        <w:t>mld</w:t>
      </w:r>
      <w:proofErr w:type="spellEnd"/>
      <w:r w:rsidRPr="00476B1F">
        <w:rPr>
          <w:rFonts w:ascii="inherit" w:eastAsia="Times New Roman" w:hAnsi="inherit" w:cs="Arial"/>
          <w:b/>
          <w:bCs/>
          <w:color w:val="51534A"/>
          <w:sz w:val="27"/>
          <w:szCs w:val="27"/>
          <w:bdr w:val="none" w:sz="0" w:space="0" w:color="auto" w:frame="1"/>
          <w:lang w:eastAsia="cs-CZ"/>
        </w:rPr>
        <w:t xml:space="preserve"> eur</w:t>
      </w:r>
    </w:p>
    <w:p w:rsidR="00476B1F" w:rsidRPr="00476B1F" w:rsidRDefault="00476B1F" w:rsidP="00476B1F">
      <w:pPr>
        <w:shd w:val="clear" w:color="auto" w:fill="FFFFFF"/>
        <w:spacing w:after="600" w:line="312" w:lineRule="atLeast"/>
        <w:textAlignment w:val="baseline"/>
        <w:rPr>
          <w:rFonts w:ascii="sans serif" w:eastAsia="Times New Roman" w:hAnsi="sans serif" w:cs="Arial"/>
          <w:color w:val="51534A"/>
          <w:sz w:val="27"/>
          <w:szCs w:val="27"/>
          <w:lang w:eastAsia="cs-CZ"/>
        </w:rPr>
      </w:pPr>
      <w:r w:rsidRPr="00476B1F">
        <w:rPr>
          <w:rFonts w:ascii="sans serif" w:eastAsia="Times New Roman" w:hAnsi="sans serif" w:cs="Arial"/>
          <w:color w:val="51534A"/>
          <w:sz w:val="27"/>
          <w:szCs w:val="27"/>
          <w:lang w:eastAsia="cs-CZ"/>
        </w:rPr>
        <w:t xml:space="preserve">Nejobjemnější transakcí prvního kvartálu roku 2019 byl prodej kontejnerového terminálu DCT </w:t>
      </w:r>
      <w:proofErr w:type="spellStart"/>
      <w:r w:rsidRPr="00476B1F">
        <w:rPr>
          <w:rFonts w:ascii="sans serif" w:eastAsia="Times New Roman" w:hAnsi="sans serif" w:cs="Arial"/>
          <w:color w:val="51534A"/>
          <w:sz w:val="27"/>
          <w:szCs w:val="27"/>
          <w:lang w:eastAsia="cs-CZ"/>
        </w:rPr>
        <w:t>Gdansk</w:t>
      </w:r>
      <w:proofErr w:type="spellEnd"/>
      <w:r w:rsidRPr="00476B1F">
        <w:rPr>
          <w:rFonts w:ascii="sans serif" w:eastAsia="Times New Roman" w:hAnsi="sans serif" w:cs="Arial"/>
          <w:color w:val="51534A"/>
          <w:sz w:val="27"/>
          <w:szCs w:val="27"/>
          <w:lang w:eastAsia="cs-CZ"/>
        </w:rPr>
        <w:t xml:space="preserve"> </w:t>
      </w:r>
      <w:proofErr w:type="gramStart"/>
      <w:r w:rsidRPr="00476B1F">
        <w:rPr>
          <w:rFonts w:ascii="sans serif" w:eastAsia="Times New Roman" w:hAnsi="sans serif" w:cs="Arial"/>
          <w:color w:val="51534A"/>
          <w:sz w:val="27"/>
          <w:szCs w:val="27"/>
          <w:lang w:eastAsia="cs-CZ"/>
        </w:rPr>
        <w:t>S.A.</w:t>
      </w:r>
      <w:proofErr w:type="gramEnd"/>
      <w:r w:rsidRPr="00476B1F">
        <w:rPr>
          <w:rFonts w:ascii="sans serif" w:eastAsia="Times New Roman" w:hAnsi="sans serif" w:cs="Arial"/>
          <w:color w:val="51534A"/>
          <w:sz w:val="27"/>
          <w:szCs w:val="27"/>
          <w:lang w:eastAsia="cs-CZ"/>
        </w:rPr>
        <w:t xml:space="preserve"> společnostem PSA International </w:t>
      </w:r>
      <w:proofErr w:type="spellStart"/>
      <w:r w:rsidRPr="00476B1F">
        <w:rPr>
          <w:rFonts w:ascii="sans serif" w:eastAsia="Times New Roman" w:hAnsi="sans serif" w:cs="Arial"/>
          <w:color w:val="51534A"/>
          <w:sz w:val="27"/>
          <w:szCs w:val="27"/>
          <w:lang w:eastAsia="cs-CZ"/>
        </w:rPr>
        <w:t>Pte</w:t>
      </w:r>
      <w:proofErr w:type="spellEnd"/>
      <w:r w:rsidRPr="00476B1F">
        <w:rPr>
          <w:rFonts w:ascii="sans serif" w:eastAsia="Times New Roman" w:hAnsi="sans serif" w:cs="Arial"/>
          <w:color w:val="51534A"/>
          <w:sz w:val="27"/>
          <w:szCs w:val="27"/>
          <w:lang w:eastAsia="cs-CZ"/>
        </w:rPr>
        <w:t xml:space="preserve"> Ltd. (Singapur), IFM </w:t>
      </w:r>
      <w:proofErr w:type="spellStart"/>
      <w:r w:rsidRPr="00476B1F">
        <w:rPr>
          <w:rFonts w:ascii="sans serif" w:eastAsia="Times New Roman" w:hAnsi="sans serif" w:cs="Arial"/>
          <w:color w:val="51534A"/>
          <w:sz w:val="27"/>
          <w:szCs w:val="27"/>
          <w:lang w:eastAsia="cs-CZ"/>
        </w:rPr>
        <w:t>Investors</w:t>
      </w:r>
      <w:proofErr w:type="spellEnd"/>
      <w:r w:rsidRPr="00476B1F">
        <w:rPr>
          <w:rFonts w:ascii="sans serif" w:eastAsia="Times New Roman" w:hAnsi="sans serif" w:cs="Arial"/>
          <w:color w:val="51534A"/>
          <w:sz w:val="27"/>
          <w:szCs w:val="27"/>
          <w:lang w:eastAsia="cs-CZ"/>
        </w:rPr>
        <w:t xml:space="preserve"> (Austrálie) a </w:t>
      </w:r>
      <w:proofErr w:type="spellStart"/>
      <w:r w:rsidRPr="00476B1F">
        <w:rPr>
          <w:rFonts w:ascii="sans serif" w:eastAsia="Times New Roman" w:hAnsi="sans serif" w:cs="Arial"/>
          <w:color w:val="51534A"/>
          <w:sz w:val="27"/>
          <w:szCs w:val="27"/>
          <w:lang w:eastAsia="cs-CZ"/>
        </w:rPr>
        <w:t>Polski</w:t>
      </w:r>
      <w:proofErr w:type="spellEnd"/>
      <w:r w:rsidRPr="00476B1F">
        <w:rPr>
          <w:rFonts w:ascii="sans serif" w:eastAsia="Times New Roman" w:hAnsi="sans serif" w:cs="Arial"/>
          <w:color w:val="51534A"/>
          <w:sz w:val="27"/>
          <w:szCs w:val="27"/>
          <w:lang w:eastAsia="cs-CZ"/>
        </w:rPr>
        <w:t xml:space="preserve"> </w:t>
      </w:r>
      <w:proofErr w:type="spellStart"/>
      <w:r w:rsidRPr="00476B1F">
        <w:rPr>
          <w:rFonts w:ascii="sans serif" w:eastAsia="Times New Roman" w:hAnsi="sans serif" w:cs="Arial"/>
          <w:color w:val="51534A"/>
          <w:sz w:val="27"/>
          <w:szCs w:val="27"/>
          <w:lang w:eastAsia="cs-CZ"/>
        </w:rPr>
        <w:t>Fundusz</w:t>
      </w:r>
      <w:proofErr w:type="spellEnd"/>
      <w:r w:rsidRPr="00476B1F">
        <w:rPr>
          <w:rFonts w:ascii="sans serif" w:eastAsia="Times New Roman" w:hAnsi="sans serif" w:cs="Arial"/>
          <w:color w:val="51534A"/>
          <w:sz w:val="27"/>
          <w:szCs w:val="27"/>
          <w:lang w:eastAsia="cs-CZ"/>
        </w:rPr>
        <w:t xml:space="preserve"> </w:t>
      </w:r>
      <w:proofErr w:type="spellStart"/>
      <w:r w:rsidRPr="00476B1F">
        <w:rPr>
          <w:rFonts w:ascii="sans serif" w:eastAsia="Times New Roman" w:hAnsi="sans serif" w:cs="Arial"/>
          <w:color w:val="51534A"/>
          <w:sz w:val="27"/>
          <w:szCs w:val="27"/>
          <w:lang w:eastAsia="cs-CZ"/>
        </w:rPr>
        <w:t>Rozwoju</w:t>
      </w:r>
      <w:proofErr w:type="spellEnd"/>
      <w:r w:rsidRPr="00476B1F">
        <w:rPr>
          <w:rFonts w:ascii="sans serif" w:eastAsia="Times New Roman" w:hAnsi="sans serif" w:cs="Arial"/>
          <w:color w:val="51534A"/>
          <w:sz w:val="27"/>
          <w:szCs w:val="27"/>
          <w:lang w:eastAsia="cs-CZ"/>
        </w:rPr>
        <w:t xml:space="preserve"> </w:t>
      </w:r>
      <w:proofErr w:type="gramStart"/>
      <w:r w:rsidRPr="00476B1F">
        <w:rPr>
          <w:rFonts w:ascii="sans serif" w:eastAsia="Times New Roman" w:hAnsi="sans serif" w:cs="Arial"/>
          <w:color w:val="51534A"/>
          <w:sz w:val="27"/>
          <w:szCs w:val="27"/>
          <w:lang w:eastAsia="cs-CZ"/>
        </w:rPr>
        <w:t>S.A.</w:t>
      </w:r>
      <w:proofErr w:type="gramEnd"/>
      <w:r w:rsidRPr="00476B1F">
        <w:rPr>
          <w:rFonts w:ascii="sans serif" w:eastAsia="Times New Roman" w:hAnsi="sans serif" w:cs="Arial"/>
          <w:color w:val="51534A"/>
          <w:sz w:val="27"/>
          <w:szCs w:val="27"/>
          <w:lang w:eastAsia="cs-CZ"/>
        </w:rPr>
        <w:t xml:space="preserve"> (Polsko). Hodnota transakce dosáhla 1,4 mld. eur. DCT </w:t>
      </w:r>
      <w:proofErr w:type="spellStart"/>
      <w:r w:rsidRPr="00476B1F">
        <w:rPr>
          <w:rFonts w:ascii="sans serif" w:eastAsia="Times New Roman" w:hAnsi="sans serif" w:cs="Arial"/>
          <w:color w:val="51534A"/>
          <w:sz w:val="27"/>
          <w:szCs w:val="27"/>
          <w:lang w:eastAsia="cs-CZ"/>
        </w:rPr>
        <w:t>Gdansk</w:t>
      </w:r>
      <w:proofErr w:type="spellEnd"/>
      <w:r w:rsidRPr="00476B1F">
        <w:rPr>
          <w:rFonts w:ascii="sans serif" w:eastAsia="Times New Roman" w:hAnsi="sans serif" w:cs="Arial"/>
          <w:color w:val="51534A"/>
          <w:sz w:val="27"/>
          <w:szCs w:val="27"/>
          <w:lang w:eastAsia="cs-CZ"/>
        </w:rPr>
        <w:t xml:space="preserve"> je největší polský kontejnerový přístav a patří mezi 15 největších v Evropě. V posledních letech se jeho kapacita zdvojnásobila (na 1,9 mil. 20stopých kontejnerů) a expanze bude pravděpodobně nadále pokračovat. Jako jediný přístav v Baltském moři umožňuje obsluhu ULCV, největších lodí určených pro přepravu kontejnerů (kapacita až 3 tis. 20stopých kontejnerů).</w:t>
      </w:r>
    </w:p>
    <w:p w:rsidR="00476B1F" w:rsidRPr="00476B1F" w:rsidRDefault="00476B1F" w:rsidP="00476B1F">
      <w:pPr>
        <w:shd w:val="clear" w:color="auto" w:fill="FFFFFF"/>
        <w:spacing w:after="0" w:line="312" w:lineRule="atLeast"/>
        <w:textAlignment w:val="baseline"/>
        <w:rPr>
          <w:rFonts w:ascii="sans serif" w:eastAsia="Times New Roman" w:hAnsi="sans serif" w:cs="Arial"/>
          <w:color w:val="51534A"/>
          <w:sz w:val="27"/>
          <w:szCs w:val="27"/>
          <w:lang w:eastAsia="cs-CZ"/>
        </w:rPr>
      </w:pPr>
      <w:r w:rsidRPr="00476B1F">
        <w:rPr>
          <w:rFonts w:ascii="inherit" w:eastAsia="Times New Roman" w:hAnsi="inherit" w:cs="Arial"/>
          <w:b/>
          <w:bCs/>
          <w:color w:val="51534A"/>
          <w:sz w:val="27"/>
          <w:szCs w:val="27"/>
          <w:bdr w:val="none" w:sz="0" w:space="0" w:color="auto" w:frame="1"/>
          <w:lang w:eastAsia="cs-CZ"/>
        </w:rPr>
        <w:t>Student Depot – Polsko, cena 60 mil. eur</w:t>
      </w:r>
    </w:p>
    <w:p w:rsidR="00476B1F" w:rsidRPr="00476B1F" w:rsidRDefault="00476B1F" w:rsidP="00476B1F">
      <w:pPr>
        <w:shd w:val="clear" w:color="auto" w:fill="FFFFFF"/>
        <w:spacing w:after="600" w:line="312" w:lineRule="atLeast"/>
        <w:textAlignment w:val="baseline"/>
        <w:rPr>
          <w:rFonts w:ascii="sans serif" w:eastAsia="Times New Roman" w:hAnsi="sans serif" w:cs="Arial"/>
          <w:color w:val="51534A"/>
          <w:sz w:val="27"/>
          <w:szCs w:val="27"/>
          <w:lang w:eastAsia="cs-CZ"/>
        </w:rPr>
      </w:pPr>
      <w:r w:rsidRPr="00476B1F">
        <w:rPr>
          <w:rFonts w:ascii="sans serif" w:eastAsia="Times New Roman" w:hAnsi="sans serif" w:cs="Arial"/>
          <w:color w:val="51534A"/>
          <w:sz w:val="27"/>
          <w:szCs w:val="27"/>
          <w:lang w:eastAsia="cs-CZ"/>
        </w:rPr>
        <w:t xml:space="preserve">Britská investiční společnost </w:t>
      </w:r>
      <w:proofErr w:type="spellStart"/>
      <w:r w:rsidRPr="00476B1F">
        <w:rPr>
          <w:rFonts w:ascii="sans serif" w:eastAsia="Times New Roman" w:hAnsi="sans serif" w:cs="Arial"/>
          <w:color w:val="51534A"/>
          <w:sz w:val="27"/>
          <w:szCs w:val="27"/>
          <w:lang w:eastAsia="cs-CZ"/>
        </w:rPr>
        <w:t>Kajima</w:t>
      </w:r>
      <w:proofErr w:type="spellEnd"/>
      <w:r w:rsidRPr="00476B1F">
        <w:rPr>
          <w:rFonts w:ascii="sans serif" w:eastAsia="Times New Roman" w:hAnsi="sans serif" w:cs="Arial"/>
          <w:color w:val="51534A"/>
          <w:sz w:val="27"/>
          <w:szCs w:val="27"/>
          <w:lang w:eastAsia="cs-CZ"/>
        </w:rPr>
        <w:t xml:space="preserve"> Student </w:t>
      </w:r>
      <w:proofErr w:type="spellStart"/>
      <w:r w:rsidRPr="00476B1F">
        <w:rPr>
          <w:rFonts w:ascii="sans serif" w:eastAsia="Times New Roman" w:hAnsi="sans serif" w:cs="Arial"/>
          <w:color w:val="51534A"/>
          <w:sz w:val="27"/>
          <w:szCs w:val="27"/>
          <w:lang w:eastAsia="cs-CZ"/>
        </w:rPr>
        <w:t>Housing</w:t>
      </w:r>
      <w:proofErr w:type="spellEnd"/>
      <w:r w:rsidRPr="00476B1F">
        <w:rPr>
          <w:rFonts w:ascii="sans serif" w:eastAsia="Times New Roman" w:hAnsi="sans serif" w:cs="Arial"/>
          <w:color w:val="51534A"/>
          <w:sz w:val="27"/>
          <w:szCs w:val="27"/>
          <w:lang w:eastAsia="cs-CZ"/>
        </w:rPr>
        <w:t xml:space="preserve"> Limited koupila 90% podíl na polské společnosti Student Depot </w:t>
      </w:r>
      <w:proofErr w:type="spellStart"/>
      <w:r w:rsidRPr="00476B1F">
        <w:rPr>
          <w:rFonts w:ascii="sans serif" w:eastAsia="Times New Roman" w:hAnsi="sans serif" w:cs="Arial"/>
          <w:color w:val="51534A"/>
          <w:sz w:val="27"/>
          <w:szCs w:val="27"/>
          <w:lang w:eastAsia="cs-CZ"/>
        </w:rPr>
        <w:t>sp</w:t>
      </w:r>
      <w:proofErr w:type="spellEnd"/>
      <w:r w:rsidRPr="00476B1F">
        <w:rPr>
          <w:rFonts w:ascii="sans serif" w:eastAsia="Times New Roman" w:hAnsi="sans serif" w:cs="Arial"/>
          <w:color w:val="51534A"/>
          <w:sz w:val="27"/>
          <w:szCs w:val="27"/>
          <w:lang w:eastAsia="cs-CZ"/>
        </w:rPr>
        <w:t xml:space="preserve">., z. </w:t>
      </w:r>
      <w:proofErr w:type="gramStart"/>
      <w:r w:rsidRPr="00476B1F">
        <w:rPr>
          <w:rFonts w:ascii="sans serif" w:eastAsia="Times New Roman" w:hAnsi="sans serif" w:cs="Arial"/>
          <w:color w:val="51534A"/>
          <w:sz w:val="27"/>
          <w:szCs w:val="27"/>
          <w:lang w:eastAsia="cs-CZ"/>
        </w:rPr>
        <w:t>o.</w:t>
      </w:r>
      <w:proofErr w:type="gramEnd"/>
      <w:r w:rsidRPr="00476B1F">
        <w:rPr>
          <w:rFonts w:ascii="sans serif" w:eastAsia="Times New Roman" w:hAnsi="sans serif" w:cs="Arial"/>
          <w:color w:val="51534A"/>
          <w:sz w:val="27"/>
          <w:szCs w:val="27"/>
          <w:lang w:eastAsia="cs-CZ"/>
        </w:rPr>
        <w:t xml:space="preserve"> o., která provozuje soukromé studentské ubytování v 5 polských univerzitních městech. Transakce byla doprovázena i nákupem zbylých 10 %, které koupila společnost </w:t>
      </w:r>
      <w:proofErr w:type="spellStart"/>
      <w:r w:rsidRPr="00476B1F">
        <w:rPr>
          <w:rFonts w:ascii="sans serif" w:eastAsia="Times New Roman" w:hAnsi="sans serif" w:cs="Arial"/>
          <w:color w:val="51534A"/>
          <w:sz w:val="27"/>
          <w:szCs w:val="27"/>
          <w:lang w:eastAsia="cs-CZ"/>
        </w:rPr>
        <w:t>Griffin</w:t>
      </w:r>
      <w:proofErr w:type="spellEnd"/>
      <w:r w:rsidRPr="00476B1F">
        <w:rPr>
          <w:rFonts w:ascii="sans serif" w:eastAsia="Times New Roman" w:hAnsi="sans serif" w:cs="Arial"/>
          <w:color w:val="51534A"/>
          <w:sz w:val="27"/>
          <w:szCs w:val="27"/>
          <w:lang w:eastAsia="cs-CZ"/>
        </w:rPr>
        <w:t xml:space="preserve"> Real </w:t>
      </w:r>
      <w:proofErr w:type="spellStart"/>
      <w:r w:rsidRPr="00476B1F">
        <w:rPr>
          <w:rFonts w:ascii="sans serif" w:eastAsia="Times New Roman" w:hAnsi="sans serif" w:cs="Arial"/>
          <w:color w:val="51534A"/>
          <w:sz w:val="27"/>
          <w:szCs w:val="27"/>
          <w:lang w:eastAsia="cs-CZ"/>
        </w:rPr>
        <w:t>Estate</w:t>
      </w:r>
      <w:proofErr w:type="spellEnd"/>
      <w:r w:rsidRPr="00476B1F">
        <w:rPr>
          <w:rFonts w:ascii="sans serif" w:eastAsia="Times New Roman" w:hAnsi="sans serif" w:cs="Arial"/>
          <w:color w:val="51534A"/>
          <w:sz w:val="27"/>
          <w:szCs w:val="27"/>
          <w:lang w:eastAsia="cs-CZ"/>
        </w:rPr>
        <w:t xml:space="preserve"> </w:t>
      </w:r>
      <w:proofErr w:type="spellStart"/>
      <w:r w:rsidRPr="00476B1F">
        <w:rPr>
          <w:rFonts w:ascii="sans serif" w:eastAsia="Times New Roman" w:hAnsi="sans serif" w:cs="Arial"/>
          <w:color w:val="51534A"/>
          <w:sz w:val="27"/>
          <w:szCs w:val="27"/>
          <w:lang w:eastAsia="cs-CZ"/>
        </w:rPr>
        <w:t>Partners</w:t>
      </w:r>
      <w:proofErr w:type="spellEnd"/>
      <w:r w:rsidRPr="00476B1F">
        <w:rPr>
          <w:rFonts w:ascii="sans serif" w:eastAsia="Times New Roman" w:hAnsi="sans serif" w:cs="Arial"/>
          <w:color w:val="51534A"/>
          <w:sz w:val="27"/>
          <w:szCs w:val="27"/>
          <w:lang w:eastAsia="cs-CZ"/>
        </w:rPr>
        <w:t xml:space="preserve">. Student Depot, který je v současné době největším poskytovatelem soukromého studentského ubytování v Polsku, předpokládá, že do konce roku 2019 bude ve svých nemovitostech nabízet přes 2 000 lůžek, přičemž právě spojení nových vlastníků by mělo napomoci dalšímu růstu a rozšiřování do dalších měst. Za 90% podíl zaplatila společnost </w:t>
      </w:r>
      <w:proofErr w:type="spellStart"/>
      <w:r w:rsidRPr="00476B1F">
        <w:rPr>
          <w:rFonts w:ascii="sans serif" w:eastAsia="Times New Roman" w:hAnsi="sans serif" w:cs="Arial"/>
          <w:color w:val="51534A"/>
          <w:sz w:val="27"/>
          <w:szCs w:val="27"/>
          <w:lang w:eastAsia="cs-CZ"/>
        </w:rPr>
        <w:t>Kajima</w:t>
      </w:r>
      <w:proofErr w:type="spellEnd"/>
      <w:r w:rsidRPr="00476B1F">
        <w:rPr>
          <w:rFonts w:ascii="sans serif" w:eastAsia="Times New Roman" w:hAnsi="sans serif" w:cs="Arial"/>
          <w:color w:val="51534A"/>
          <w:sz w:val="27"/>
          <w:szCs w:val="27"/>
          <w:lang w:eastAsia="cs-CZ"/>
        </w:rPr>
        <w:t xml:space="preserve"> Studen </w:t>
      </w:r>
      <w:proofErr w:type="spellStart"/>
      <w:r w:rsidRPr="00476B1F">
        <w:rPr>
          <w:rFonts w:ascii="sans serif" w:eastAsia="Times New Roman" w:hAnsi="sans serif" w:cs="Arial"/>
          <w:color w:val="51534A"/>
          <w:sz w:val="27"/>
          <w:szCs w:val="27"/>
          <w:lang w:eastAsia="cs-CZ"/>
        </w:rPr>
        <w:t>Housing</w:t>
      </w:r>
      <w:proofErr w:type="spellEnd"/>
      <w:r w:rsidRPr="00476B1F">
        <w:rPr>
          <w:rFonts w:ascii="sans serif" w:eastAsia="Times New Roman" w:hAnsi="sans serif" w:cs="Arial"/>
          <w:color w:val="51534A"/>
          <w:sz w:val="27"/>
          <w:szCs w:val="27"/>
          <w:lang w:eastAsia="cs-CZ"/>
        </w:rPr>
        <w:t xml:space="preserve"> 60 mil. eur.</w:t>
      </w:r>
    </w:p>
    <w:p w:rsidR="00476B1F" w:rsidRPr="00476B1F" w:rsidRDefault="00476B1F" w:rsidP="00476B1F">
      <w:pPr>
        <w:shd w:val="clear" w:color="auto" w:fill="FFFFFF"/>
        <w:spacing w:line="312" w:lineRule="atLeast"/>
        <w:textAlignment w:val="baseline"/>
        <w:rPr>
          <w:rFonts w:ascii="sans serif" w:eastAsia="Times New Roman" w:hAnsi="sans serif" w:cs="Arial"/>
          <w:b/>
          <w:bCs/>
          <w:color w:val="51534A"/>
          <w:sz w:val="27"/>
          <w:szCs w:val="27"/>
          <w:lang w:eastAsia="cs-CZ"/>
        </w:rPr>
      </w:pPr>
      <w:hyperlink r:id="rId7" w:history="1">
        <w:r w:rsidRPr="00476B1F">
          <w:rPr>
            <w:rFonts w:ascii="inherit" w:eastAsia="Times New Roman" w:hAnsi="inherit" w:cs="Arial"/>
            <w:b/>
            <w:bCs/>
            <w:color w:val="4664FF"/>
            <w:sz w:val="27"/>
            <w:szCs w:val="27"/>
            <w:bdr w:val="none" w:sz="0" w:space="0" w:color="auto" w:frame="1"/>
            <w:lang w:eastAsia="cs-CZ"/>
          </w:rPr>
          <w:t>Roklen24</w:t>
        </w:r>
      </w:hyperlink>
    </w:p>
    <w:p w:rsidR="00476B1F" w:rsidRDefault="00476B1F"/>
    <w:sectPr w:rsidR="00476B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ans serif">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B1F"/>
    <w:rsid w:val="00476B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A463E6-53A7-45D0-90FE-A8F4E2FE6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476B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476B1F"/>
    <w:rPr>
      <w:color w:val="0000FF"/>
      <w:u w:val="single"/>
    </w:rPr>
  </w:style>
  <w:style w:type="character" w:customStyle="1" w:styleId="Nadpis1Char">
    <w:name w:val="Nadpis 1 Char"/>
    <w:basedOn w:val="Standardnpsmoodstavce"/>
    <w:link w:val="Nadpis1"/>
    <w:uiPriority w:val="9"/>
    <w:rsid w:val="00476B1F"/>
    <w:rPr>
      <w:rFonts w:ascii="Times New Roman" w:eastAsia="Times New Roman" w:hAnsi="Times New Roman" w:cs="Times New Roman"/>
      <w:b/>
      <w:bCs/>
      <w:kern w:val="36"/>
      <w:sz w:val="48"/>
      <w:szCs w:val="48"/>
      <w:lang w:eastAsia="cs-CZ"/>
    </w:rPr>
  </w:style>
  <w:style w:type="paragraph" w:customStyle="1" w:styleId="article-detaildate">
    <w:name w:val="article-detail__date"/>
    <w:basedOn w:val="Normln"/>
    <w:rsid w:val="00476B1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476B1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76B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404891">
      <w:bodyDiv w:val="1"/>
      <w:marLeft w:val="0"/>
      <w:marRight w:val="0"/>
      <w:marTop w:val="0"/>
      <w:marBottom w:val="0"/>
      <w:divBdr>
        <w:top w:val="none" w:sz="0" w:space="0" w:color="auto"/>
        <w:left w:val="none" w:sz="0" w:space="0" w:color="auto"/>
        <w:bottom w:val="none" w:sz="0" w:space="0" w:color="auto"/>
        <w:right w:val="none" w:sz="0" w:space="0" w:color="auto"/>
      </w:divBdr>
      <w:divsChild>
        <w:div w:id="362636986">
          <w:marLeft w:val="0"/>
          <w:marRight w:val="0"/>
          <w:marTop w:val="0"/>
          <w:marBottom w:val="300"/>
          <w:divBdr>
            <w:top w:val="none" w:sz="0" w:space="0" w:color="auto"/>
            <w:left w:val="none" w:sz="0" w:space="0" w:color="auto"/>
            <w:bottom w:val="none" w:sz="0" w:space="0" w:color="auto"/>
            <w:right w:val="none" w:sz="0" w:space="0" w:color="auto"/>
          </w:divBdr>
        </w:div>
        <w:div w:id="2007400174">
          <w:marLeft w:val="0"/>
          <w:marRight w:val="0"/>
          <w:marTop w:val="0"/>
          <w:marBottom w:val="0"/>
          <w:divBdr>
            <w:top w:val="none" w:sz="0" w:space="0" w:color="auto"/>
            <w:left w:val="none" w:sz="0" w:space="0" w:color="auto"/>
            <w:bottom w:val="none" w:sz="0" w:space="0" w:color="auto"/>
            <w:right w:val="none" w:sz="0" w:space="0" w:color="auto"/>
          </w:divBdr>
          <w:divsChild>
            <w:div w:id="536820049">
              <w:blockQuote w:val="1"/>
              <w:marLeft w:val="0"/>
              <w:marRight w:val="0"/>
              <w:marTop w:val="150"/>
              <w:marBottom w:val="300"/>
              <w:divBdr>
                <w:top w:val="single" w:sz="18" w:space="23" w:color="FF585D"/>
                <w:left w:val="none" w:sz="0" w:space="0" w:color="auto"/>
                <w:bottom w:val="dotted" w:sz="6" w:space="23" w:color="E2E3D9"/>
                <w:right w:val="none" w:sz="0" w:space="0" w:color="auto"/>
              </w:divBdr>
            </w:div>
          </w:divsChild>
        </w:div>
        <w:div w:id="344137713">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oklen24.cz/author/roklen2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f@roklen.cz" TargetMode="External"/><Relationship Id="rId5" Type="http://schemas.openxmlformats.org/officeDocument/2006/relationships/hyperlink" Target="https://roklenfx.us17.list-manage.com/track/click?u=348ead5796ab8e6f4029e392b&amp;id=8371517e9a&amp;e=d8459f0218" TargetMode="External"/><Relationship Id="rId4" Type="http://schemas.openxmlformats.org/officeDocument/2006/relationships/hyperlink" Target="https://roklen24.cz/author/roklen24" TargetMode="Externa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991</Words>
  <Characters>5849</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Poulová, Eliška</dc:creator>
  <cp:keywords/>
  <dc:description/>
  <cp:lastModifiedBy>Poulová, Eliška</cp:lastModifiedBy>
  <cp:revision>1</cp:revision>
  <dcterms:created xsi:type="dcterms:W3CDTF">2019-07-24T07:41:00Z</dcterms:created>
  <dcterms:modified xsi:type="dcterms:W3CDTF">2019-07-24T07:56:00Z</dcterms:modified>
</cp:coreProperties>
</file>