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AE6801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a Skál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84606F" w:rsidTr="00174543">
        <w:trPr>
          <w:trHeight w:val="218"/>
        </w:trPr>
        <w:tc>
          <w:tcPr>
            <w:tcW w:w="9638" w:type="dxa"/>
          </w:tcPr>
          <w:p w:rsidR="000D7B9E" w:rsidRPr="0084606F" w:rsidRDefault="00F91B7E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84606F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Jana Skálová</w:t>
            </w:r>
          </w:p>
        </w:tc>
      </w:tr>
    </w:tbl>
    <w:p w:rsidR="00BC7D58" w:rsidRPr="0084606F" w:rsidRDefault="00BC7D58" w:rsidP="00E50AB6">
      <w:pPr>
        <w:pStyle w:val="Kategorie"/>
        <w:spacing w:before="0"/>
        <w:rPr>
          <w:lang w:val="en-US"/>
        </w:rPr>
        <w:sectPr w:rsidR="00BC7D58" w:rsidRPr="0084606F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84606F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84606F">
        <w:rPr>
          <w:szCs w:val="19"/>
          <w:lang w:val="en-US"/>
        </w:rPr>
        <w:lastRenderedPageBreak/>
        <w:t>Profil</w:t>
      </w:r>
      <w:r w:rsidR="00F45936" w:rsidRPr="0084606F">
        <w:rPr>
          <w:szCs w:val="19"/>
          <w:lang w:val="en-US"/>
        </w:rPr>
        <w:t>e</w:t>
      </w:r>
    </w:p>
    <w:p w:rsidR="00E50AB6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Partner at TPA Czech Republic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Co-founder of the TPA group in the Czech Republic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Auditor</w:t>
      </w:r>
      <w:r w:rsidRPr="0084606F">
        <w:rPr>
          <w:sz w:val="19"/>
          <w:szCs w:val="19"/>
          <w:lang w:val="en-US"/>
        </w:rPr>
        <w:t>, tax advisor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Lecturer and Trainer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Author of professional articles and books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E50AB6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Since 1993: Partner at TPA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Assistant Professor at the Department of Financial Accounting and Auditing at the Faculty of Finance and Accounting of the University of Economics in Prague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More than 20 years’ experience in accounting, corporate income tax and in the preparation of merger projects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E50AB6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PhD. Graduate of the University of Economics in Prague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Auditor since 1995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Tax advisor since 1993</w:t>
      </w:r>
    </w:p>
    <w:p w:rsidR="00F91B7E" w:rsidRPr="0084606F" w:rsidRDefault="00F91B7E" w:rsidP="00F91B7E">
      <w:pPr>
        <w:pStyle w:val="Seznamsodrkami"/>
        <w:rPr>
          <w:sz w:val="19"/>
          <w:szCs w:val="19"/>
          <w:lang w:val="en-US"/>
        </w:rPr>
      </w:pPr>
      <w:r w:rsidRPr="00A56F7B">
        <w:rPr>
          <w:sz w:val="19"/>
          <w:szCs w:val="19"/>
          <w:lang w:val="en-US"/>
        </w:rPr>
        <w:t>Graduate of the University of Economics in Prague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84606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4606F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84606F" w:rsidRDefault="00F45936" w:rsidP="0039200B">
      <w:pPr>
        <w:pStyle w:val="Seznamsodrkami"/>
        <w:rPr>
          <w:sz w:val="19"/>
          <w:szCs w:val="19"/>
          <w:lang w:val="en-US"/>
        </w:rPr>
      </w:pPr>
      <w:r w:rsidRPr="0084606F">
        <w:rPr>
          <w:sz w:val="19"/>
          <w:szCs w:val="19"/>
          <w:lang w:val="en-US"/>
        </w:rPr>
        <w:t>German</w:t>
      </w:r>
    </w:p>
    <w:p w:rsidR="000D7B9E" w:rsidRPr="0084606F" w:rsidRDefault="00F45936" w:rsidP="0039200B">
      <w:pPr>
        <w:pStyle w:val="Seznamsodrkami"/>
        <w:rPr>
          <w:sz w:val="19"/>
          <w:szCs w:val="19"/>
          <w:lang w:val="en-US"/>
        </w:rPr>
      </w:pPr>
      <w:r w:rsidRPr="0084606F">
        <w:rPr>
          <w:sz w:val="19"/>
          <w:szCs w:val="19"/>
          <w:lang w:val="en-US"/>
        </w:rPr>
        <w:t>Englis</w:t>
      </w:r>
      <w:r w:rsidR="00E50AB6" w:rsidRPr="0084606F">
        <w:rPr>
          <w:sz w:val="19"/>
          <w:szCs w:val="19"/>
          <w:lang w:val="en-US"/>
        </w:rPr>
        <w:t>h</w:t>
      </w:r>
    </w:p>
    <w:p w:rsidR="00BC7D58" w:rsidRPr="0084606F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84606F">
        <w:rPr>
          <w:b w:val="0"/>
          <w:lang w:val="en-US"/>
        </w:rPr>
        <w:br w:type="column"/>
      </w:r>
      <w:r w:rsidR="00F45936" w:rsidRPr="0084606F">
        <w:rPr>
          <w:szCs w:val="19"/>
          <w:lang w:val="en-US"/>
        </w:rPr>
        <w:lastRenderedPageBreak/>
        <w:t>Client Focus / Services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CORPORATE</w:t>
      </w:r>
      <w:r w:rsidR="00F91B7E" w:rsidRPr="00A56F7B">
        <w:rPr>
          <w:sz w:val="19"/>
          <w:szCs w:val="19"/>
          <w:lang w:val="en-US"/>
        </w:rPr>
        <w:t xml:space="preserve"> </w:t>
      </w:r>
      <w:r w:rsidRPr="00A56F7B">
        <w:rPr>
          <w:sz w:val="19"/>
          <w:szCs w:val="19"/>
          <w:lang w:val="en-US"/>
        </w:rPr>
        <w:t>ACCOUTING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FINANCIAL DUE DILIGENCE</w:t>
      </w:r>
    </w:p>
    <w:p w:rsidR="00F45936" w:rsidRPr="00A56F7B" w:rsidRDefault="00F91B7E" w:rsidP="0039200B">
      <w:pPr>
        <w:pStyle w:val="Seznamsodrkami"/>
      </w:pPr>
      <w:r w:rsidRPr="00A56F7B">
        <w:rPr>
          <w:sz w:val="19"/>
          <w:szCs w:val="19"/>
          <w:lang w:val="en-US"/>
        </w:rPr>
        <w:t xml:space="preserve">IFRS/US GAAP </w:t>
      </w:r>
      <w:r w:rsidR="00A56F7B" w:rsidRPr="00A56F7B">
        <w:rPr>
          <w:sz w:val="19"/>
          <w:szCs w:val="19"/>
          <w:lang w:val="en-US"/>
        </w:rPr>
        <w:t>CONSULTANCY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MERGERS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STATUTORY AUDIT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TRAINING</w:t>
      </w:r>
      <w:r w:rsidR="00F91B7E" w:rsidRPr="00A56F7B">
        <w:rPr>
          <w:sz w:val="19"/>
          <w:szCs w:val="19"/>
          <w:lang w:val="en-US"/>
        </w:rPr>
        <w:t xml:space="preserve"> </w:t>
      </w:r>
      <w:r w:rsidRPr="00A56F7B">
        <w:rPr>
          <w:sz w:val="19"/>
          <w:szCs w:val="19"/>
          <w:lang w:val="en-US"/>
        </w:rPr>
        <w:t>COURSES</w:t>
      </w:r>
      <w:r w:rsidR="00F91B7E" w:rsidRPr="00A56F7B">
        <w:rPr>
          <w:sz w:val="19"/>
          <w:szCs w:val="19"/>
          <w:lang w:val="en-US"/>
        </w:rPr>
        <w:t xml:space="preserve"> </w:t>
      </w:r>
      <w:r w:rsidRPr="00A56F7B">
        <w:rPr>
          <w:sz w:val="19"/>
          <w:szCs w:val="19"/>
          <w:lang w:val="en-US"/>
        </w:rPr>
        <w:t>ACCOUNTING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TRAINING COURSES</w:t>
      </w:r>
      <w:r w:rsidR="00F91B7E" w:rsidRPr="00A56F7B">
        <w:rPr>
          <w:sz w:val="19"/>
          <w:szCs w:val="19"/>
          <w:lang w:val="en-US"/>
        </w:rPr>
        <w:t xml:space="preserve"> </w:t>
      </w:r>
      <w:r w:rsidRPr="00A56F7B">
        <w:rPr>
          <w:sz w:val="19"/>
          <w:szCs w:val="19"/>
          <w:lang w:val="en-US"/>
        </w:rPr>
        <w:t>TAX ADVISORY</w:t>
      </w:r>
    </w:p>
    <w:p w:rsidR="00F45936" w:rsidRPr="00A56F7B" w:rsidRDefault="00A56F7B" w:rsidP="0039200B">
      <w:pPr>
        <w:pStyle w:val="Seznamsodrkami"/>
      </w:pPr>
      <w:r w:rsidRPr="00A56F7B">
        <w:rPr>
          <w:sz w:val="19"/>
          <w:szCs w:val="19"/>
          <w:lang w:val="en-US"/>
        </w:rPr>
        <w:t>TRANSACTION SUPPORT</w:t>
      </w:r>
    </w:p>
    <w:p w:rsidR="00BC7D58" w:rsidRPr="0084606F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84606F">
        <w:rPr>
          <w:szCs w:val="19"/>
          <w:lang w:val="en-US"/>
        </w:rPr>
        <w:t>Areas of Expertise</w:t>
      </w:r>
    </w:p>
    <w:p w:rsidR="004F767B" w:rsidRPr="0084606F" w:rsidRDefault="00A56F7B" w:rsidP="0039200B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HOLDINGS</w:t>
      </w:r>
    </w:p>
    <w:p w:rsidR="004F767B" w:rsidRPr="0084606F" w:rsidRDefault="00A56F7B" w:rsidP="0039200B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REAL ESTATE</w:t>
      </w:r>
    </w:p>
    <w:p w:rsidR="004F767B" w:rsidRPr="0084606F" w:rsidRDefault="004F767B" w:rsidP="00F91B7E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84606F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84606F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84606F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84606F" w:rsidTr="000367CB">
        <w:tc>
          <w:tcPr>
            <w:tcW w:w="3969" w:type="dxa"/>
            <w:vAlign w:val="bottom"/>
          </w:tcPr>
          <w:p w:rsidR="00DC2B18" w:rsidRPr="0084606F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84606F">
              <w:rPr>
                <w:b/>
                <w:szCs w:val="19"/>
                <w:lang w:val="en-US"/>
              </w:rPr>
              <w:t>Contact</w:t>
            </w:r>
          </w:p>
          <w:p w:rsidR="00DC2B18" w:rsidRPr="0084606F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84606F" w:rsidRDefault="00F91B7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84606F">
              <w:rPr>
                <w:b/>
                <w:szCs w:val="19"/>
                <w:lang w:val="en-US"/>
              </w:rPr>
              <w:t>Jana Skálová</w:t>
            </w:r>
          </w:p>
          <w:p w:rsidR="004F767B" w:rsidRPr="0084606F" w:rsidRDefault="0084606F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4606F">
              <w:rPr>
                <w:sz w:val="19"/>
                <w:szCs w:val="19"/>
                <w:lang w:val="en-US"/>
              </w:rPr>
              <w:t>jana.skalova@tpa-group.cz</w:t>
            </w:r>
          </w:p>
          <w:p w:rsidR="004F767B" w:rsidRPr="0084606F" w:rsidRDefault="0029431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>
              <w:rPr>
                <w:lang w:val="en-US"/>
              </w:rPr>
              <w:t>Phone: +420 222 826 327</w:t>
            </w:r>
            <w:bookmarkStart w:id="0" w:name="_GoBack"/>
            <w:bookmarkEnd w:id="0"/>
          </w:p>
          <w:p w:rsidR="00BC7D58" w:rsidRPr="0084606F" w:rsidRDefault="0084606F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84606F">
              <w:rPr>
                <w:lang w:val="en-US"/>
              </w:rPr>
              <w:t>Cellphone: +420 602 339 060</w:t>
            </w:r>
          </w:p>
          <w:p w:rsidR="00BC7D58" w:rsidRPr="0084606F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BC7D58" w:rsidRPr="0084606F" w:rsidRDefault="0084606F" w:rsidP="0084606F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4606F">
              <w:rPr>
                <w:sz w:val="19"/>
                <w:szCs w:val="19"/>
                <w:lang w:val="en-US"/>
              </w:rPr>
              <w:t>TPA Czech Republic</w:t>
            </w:r>
          </w:p>
          <w:p w:rsidR="0084606F" w:rsidRPr="0084606F" w:rsidRDefault="0084606F" w:rsidP="0084606F">
            <w:pPr>
              <w:spacing w:line="240" w:lineRule="atLeast"/>
              <w:rPr>
                <w:lang w:val="en-US"/>
              </w:rPr>
            </w:pPr>
            <w:r w:rsidRPr="0084606F">
              <w:rPr>
                <w:lang w:val="en-US"/>
              </w:rPr>
              <w:t>Antala Staška 2027/79 Prague 4, 140 00</w:t>
            </w:r>
          </w:p>
          <w:p w:rsidR="0084606F" w:rsidRPr="0084606F" w:rsidRDefault="0084606F" w:rsidP="0084606F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4606F">
              <w:rPr>
                <w:lang w:val="en-US"/>
              </w:rPr>
              <w:t>Phone: +420 222 826 311</w:t>
            </w:r>
          </w:p>
        </w:tc>
      </w:tr>
    </w:tbl>
    <w:p w:rsidR="00436E27" w:rsidRPr="0084606F" w:rsidRDefault="00436E27" w:rsidP="00BC7D58">
      <w:pPr>
        <w:pStyle w:val="Kategorie"/>
        <w:spacing w:before="0"/>
        <w:rPr>
          <w:lang w:val="en-US"/>
        </w:rPr>
      </w:pPr>
    </w:p>
    <w:sectPr w:rsidR="00436E27" w:rsidRPr="0084606F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10" w:rsidRDefault="00646F10" w:rsidP="00956F35">
      <w:pPr>
        <w:spacing w:line="240" w:lineRule="auto"/>
      </w:pPr>
      <w:r>
        <w:separator/>
      </w:r>
    </w:p>
  </w:endnote>
  <w:endnote w:type="continuationSeparator" w:id="0">
    <w:p w:rsidR="00646F10" w:rsidRDefault="00646F10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7B" w:rsidRPr="00FA34CE" w:rsidRDefault="00A56F7B" w:rsidP="00A56F7B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C14713" wp14:editId="28D04459">
              <wp:simplePos x="0" y="0"/>
              <wp:positionH relativeFrom="column">
                <wp:posOffset>3337560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8pt,309.75pt" to="262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B2w5J6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A56F7B" w:rsidRDefault="00BC7D58" w:rsidP="00A56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10" w:rsidRDefault="00646F10" w:rsidP="00956F35">
      <w:pPr>
        <w:spacing w:line="240" w:lineRule="auto"/>
      </w:pPr>
      <w:r>
        <w:separator/>
      </w:r>
    </w:p>
  </w:footnote>
  <w:footnote w:type="continuationSeparator" w:id="0">
    <w:p w:rsidR="00646F10" w:rsidRDefault="00646F10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3E0B6E15" wp14:editId="578ADF70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F91B7E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4318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46F10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06F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56F7B"/>
    <w:rsid w:val="00A74F23"/>
    <w:rsid w:val="00A776EB"/>
    <w:rsid w:val="00A872C0"/>
    <w:rsid w:val="00A9743C"/>
    <w:rsid w:val="00AB6D15"/>
    <w:rsid w:val="00AD2616"/>
    <w:rsid w:val="00AD2A0E"/>
    <w:rsid w:val="00AD4DA7"/>
    <w:rsid w:val="00AD6B5E"/>
    <w:rsid w:val="00AD7464"/>
    <w:rsid w:val="00AE270B"/>
    <w:rsid w:val="00AE4FB9"/>
    <w:rsid w:val="00AE6801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91B7E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F9C1-C649-49C6-B7AC-7298863F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15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2018-02-13T12:51:00Z</dcterms:created>
  <dcterms:modified xsi:type="dcterms:W3CDTF">2019-02-05T14:13:00Z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