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A2194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stislav Kunes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E62168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Rostislav Kuneš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256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lastRenderedPageBreak/>
        <w:t>Profil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Partner</w:t>
      </w:r>
      <w:r w:rsidR="00CE4EE1" w:rsidRPr="00BA5B27">
        <w:rPr>
          <w:sz w:val="19"/>
          <w:szCs w:val="19"/>
          <w:lang w:val="cs-CZ"/>
        </w:rPr>
        <w:t xml:space="preserve"> v TPA Česká republika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Generální manažer a spoluzakladatel skupiny TPA Česká republika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 xml:space="preserve">Člen </w:t>
      </w:r>
      <w:proofErr w:type="spellStart"/>
      <w:r w:rsidRPr="00BA5B27">
        <w:rPr>
          <w:lang w:val="cs-CZ"/>
        </w:rPr>
        <w:t>Steering</w:t>
      </w:r>
      <w:proofErr w:type="spellEnd"/>
      <w:r w:rsidRPr="00BA5B27">
        <w:rPr>
          <w:lang w:val="cs-CZ"/>
        </w:rPr>
        <w:t xml:space="preserve"> </w:t>
      </w:r>
      <w:proofErr w:type="spellStart"/>
      <w:r w:rsidRPr="00BA5B27">
        <w:rPr>
          <w:lang w:val="cs-CZ"/>
        </w:rPr>
        <w:t>Committee</w:t>
      </w:r>
      <w:proofErr w:type="spellEnd"/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Auditor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Daňový poradce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Lektorská činnost zaměřující se na problematiku IAS/IFRS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Od roku 1993: Partner</w:t>
      </w:r>
      <w:r w:rsidR="009521E4" w:rsidRPr="00BA5B27">
        <w:rPr>
          <w:lang w:val="cs-CZ"/>
        </w:rPr>
        <w:t xml:space="preserve"> v TPA Česká republika</w:t>
      </w:r>
      <w:r w:rsidR="00E50AB6" w:rsidRPr="00BA5B27">
        <w:rPr>
          <w:sz w:val="19"/>
          <w:szCs w:val="19"/>
          <w:lang w:val="cs-CZ"/>
        </w:rPr>
        <w:t xml:space="preserve"> </w:t>
      </w:r>
    </w:p>
    <w:p w:rsidR="00E50AB6" w:rsidRPr="00276F23" w:rsidRDefault="00E62168" w:rsidP="00276F23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 xml:space="preserve">Více než 20 let zkušeností v oblasti auditu, </w:t>
      </w:r>
      <w:proofErr w:type="spellStart"/>
      <w:r w:rsidRPr="00BA5B27">
        <w:rPr>
          <w:lang w:val="cs-CZ"/>
        </w:rPr>
        <w:t>due</w:t>
      </w:r>
      <w:proofErr w:type="spellEnd"/>
      <w:r w:rsidRPr="00BA5B27">
        <w:rPr>
          <w:lang w:val="cs-CZ"/>
        </w:rPr>
        <w:t xml:space="preserve"> diligence a účetnictví</w:t>
      </w:r>
      <w:bookmarkStart w:id="0" w:name="_GoBack"/>
      <w:bookmarkEnd w:id="0"/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Daňový poradce od roku 1999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Auditor od roku 1995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Absolvent Vysoké školy ekonomické v Praze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BA5B27" w:rsidRDefault="00E62168" w:rsidP="00E62168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Člen vzdělávacího panelu Komory Auditorů České republiky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A5B27" w:rsidRDefault="009521E4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Český jazyk</w:t>
      </w:r>
    </w:p>
    <w:p w:rsidR="000D7B9E" w:rsidRPr="00BA5B27" w:rsidRDefault="009521E4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Anglický jazyk</w:t>
      </w:r>
    </w:p>
    <w:p w:rsidR="00BC7D58" w:rsidRPr="00BA5B2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A5B27">
        <w:rPr>
          <w:b w:val="0"/>
          <w:lang w:val="cs-CZ"/>
        </w:rPr>
        <w:br w:type="column"/>
      </w:r>
      <w:r w:rsidR="0027256D" w:rsidRPr="00BA5B27">
        <w:rPr>
          <w:szCs w:val="19"/>
          <w:lang w:val="cs-CZ"/>
        </w:rPr>
        <w:lastRenderedPageBreak/>
        <w:t>Klientské zaměření / služby</w:t>
      </w:r>
    </w:p>
    <w:p w:rsidR="00F45936" w:rsidRPr="00BA5B27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BA5B27">
        <w:rPr>
          <w:rStyle w:val="BulletpointZchn"/>
          <w:szCs w:val="19"/>
          <w:lang w:val="cs-CZ"/>
        </w:rPr>
        <w:t xml:space="preserve">Finanční </w:t>
      </w:r>
      <w:proofErr w:type="spellStart"/>
      <w:r w:rsidRPr="00BA5B27">
        <w:rPr>
          <w:rStyle w:val="BulletpointZchn"/>
          <w:szCs w:val="19"/>
          <w:lang w:val="cs-CZ"/>
        </w:rPr>
        <w:t>due</w:t>
      </w:r>
      <w:proofErr w:type="spellEnd"/>
      <w:r w:rsidRPr="00BA5B27">
        <w:rPr>
          <w:rStyle w:val="BulletpointZchn"/>
          <w:szCs w:val="19"/>
          <w:lang w:val="cs-CZ"/>
        </w:rPr>
        <w:t xml:space="preserve"> diligence</w:t>
      </w:r>
    </w:p>
    <w:p w:rsidR="00F45936" w:rsidRPr="00BA5B27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BA5B27">
        <w:rPr>
          <w:rStyle w:val="BulletpointZchn"/>
          <w:szCs w:val="19"/>
          <w:lang w:val="cs-CZ"/>
        </w:rPr>
        <w:t>IFRS/US GAAP poradenství</w:t>
      </w:r>
    </w:p>
    <w:p w:rsidR="00F45936" w:rsidRPr="00BA5B27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BA5B27">
        <w:rPr>
          <w:rStyle w:val="BulletpointZchn"/>
          <w:szCs w:val="19"/>
          <w:lang w:val="cs-CZ"/>
        </w:rPr>
        <w:t>Statutární audit</w:t>
      </w:r>
    </w:p>
    <w:p w:rsidR="00F45936" w:rsidRPr="00BA5B27" w:rsidRDefault="0027256D" w:rsidP="0027256D">
      <w:pPr>
        <w:pStyle w:val="Seznamsodrkami"/>
        <w:rPr>
          <w:rStyle w:val="BulletpointZchn"/>
          <w:szCs w:val="19"/>
          <w:lang w:val="cs-CZ"/>
        </w:rPr>
      </w:pPr>
      <w:r w:rsidRPr="00BA5B27">
        <w:rPr>
          <w:rStyle w:val="BulletpointZchn"/>
          <w:szCs w:val="19"/>
          <w:lang w:val="cs-CZ"/>
        </w:rPr>
        <w:t>Účetní a ekonomické poradenství</w:t>
      </w:r>
    </w:p>
    <w:p w:rsidR="00E62168" w:rsidRPr="00BA5B27" w:rsidRDefault="00E62168" w:rsidP="0027256D">
      <w:pPr>
        <w:pStyle w:val="Seznamsodrkami"/>
        <w:rPr>
          <w:rStyle w:val="BulletpointZchn"/>
          <w:szCs w:val="19"/>
          <w:lang w:val="cs-CZ"/>
        </w:rPr>
      </w:pPr>
      <w:proofErr w:type="spellStart"/>
      <w:r w:rsidRPr="00BA5B27">
        <w:rPr>
          <w:rStyle w:val="BulletpointZchn"/>
          <w:szCs w:val="19"/>
          <w:lang w:val="cs-CZ"/>
        </w:rPr>
        <w:t>Svěřenské</w:t>
      </w:r>
      <w:proofErr w:type="spellEnd"/>
      <w:r w:rsidRPr="00BA5B27">
        <w:rPr>
          <w:rStyle w:val="BulletpointZchn"/>
          <w:szCs w:val="19"/>
          <w:lang w:val="cs-CZ"/>
        </w:rPr>
        <w:t xml:space="preserve"> fondy</w:t>
      </w:r>
    </w:p>
    <w:p w:rsidR="00E62168" w:rsidRPr="00BA5B27" w:rsidRDefault="00E62168" w:rsidP="0027256D">
      <w:pPr>
        <w:pStyle w:val="Seznamsodrkami"/>
        <w:rPr>
          <w:rStyle w:val="BulletpointZchn"/>
          <w:szCs w:val="19"/>
          <w:lang w:val="cs-CZ"/>
        </w:rPr>
      </w:pPr>
      <w:proofErr w:type="spellStart"/>
      <w:r w:rsidRPr="00BA5B27">
        <w:rPr>
          <w:rStyle w:val="BulletpointZchn"/>
          <w:szCs w:val="19"/>
          <w:lang w:val="cs-CZ"/>
        </w:rPr>
        <w:t>Postakviziční</w:t>
      </w:r>
      <w:proofErr w:type="spellEnd"/>
      <w:r w:rsidRPr="00BA5B27">
        <w:rPr>
          <w:rStyle w:val="BulletpointZchn"/>
          <w:szCs w:val="19"/>
          <w:lang w:val="cs-CZ"/>
        </w:rPr>
        <w:t xml:space="preserve"> poradenství</w:t>
      </w:r>
    </w:p>
    <w:p w:rsidR="00BC7D58" w:rsidRPr="00BA5B2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A5B27">
        <w:rPr>
          <w:szCs w:val="19"/>
          <w:lang w:val="cs-CZ"/>
        </w:rPr>
        <w:t>Odvětví</w:t>
      </w:r>
    </w:p>
    <w:p w:rsidR="004F767B" w:rsidRPr="00BA5B27" w:rsidRDefault="0027256D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Automobilový průmysl</w:t>
      </w:r>
    </w:p>
    <w:p w:rsidR="004F767B" w:rsidRPr="00BA5B27" w:rsidRDefault="0027256D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Energetika, teplárenství a vodárenství</w:t>
      </w:r>
    </w:p>
    <w:p w:rsidR="004F767B" w:rsidRPr="00BA5B27" w:rsidRDefault="0027256D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Informační technologie a media</w:t>
      </w:r>
    </w:p>
    <w:p w:rsidR="004F767B" w:rsidRPr="00BA5B27" w:rsidRDefault="0027256D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Nemovitosti</w:t>
      </w:r>
    </w:p>
    <w:p w:rsidR="004F767B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Stavební průmysl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Strojírenství a zpracovatelský průmysl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lang w:val="cs-CZ"/>
        </w:rPr>
        <w:t>Turistický a zábavní průmysl</w:t>
      </w:r>
    </w:p>
    <w:p w:rsidR="00BC7D58" w:rsidRPr="00BA5B2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A5B2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A5B2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A5B27" w:rsidTr="000367CB">
        <w:tc>
          <w:tcPr>
            <w:tcW w:w="3969" w:type="dxa"/>
            <w:vAlign w:val="bottom"/>
          </w:tcPr>
          <w:p w:rsidR="00DC2B18" w:rsidRPr="00BA5B2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A5B27">
              <w:rPr>
                <w:b/>
                <w:szCs w:val="19"/>
                <w:lang w:val="cs-CZ"/>
              </w:rPr>
              <w:t>Kontakt</w:t>
            </w:r>
          </w:p>
          <w:p w:rsidR="00DC2B18" w:rsidRPr="00BA5B2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A5B27" w:rsidRDefault="00E621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A5B27">
              <w:rPr>
                <w:b/>
                <w:lang w:val="cs-CZ"/>
              </w:rPr>
              <w:t>Rostislav Kuneš</w:t>
            </w:r>
          </w:p>
          <w:p w:rsidR="004F767B" w:rsidRPr="00BA5B27" w:rsidRDefault="00E62168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BA5B27">
              <w:rPr>
                <w:sz w:val="19"/>
                <w:szCs w:val="19"/>
                <w:lang w:val="cs-CZ"/>
              </w:rPr>
              <w:t>rostislav.kunes</w:t>
            </w:r>
            <w:r w:rsidR="0027256D" w:rsidRPr="00BA5B2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A5B27" w:rsidRDefault="00276F23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+420 222 826 211</w:t>
            </w:r>
          </w:p>
          <w:p w:rsidR="00BC7D58" w:rsidRPr="00BA5B27" w:rsidRDefault="00E621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A5B27">
              <w:rPr>
                <w:lang w:val="cs-CZ"/>
              </w:rPr>
              <w:t>Mobil: +420 602 317 471</w:t>
            </w:r>
          </w:p>
          <w:p w:rsidR="00BC7D58" w:rsidRPr="00BA5B2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A5B27" w:rsidRDefault="00A80E66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BA5B27">
              <w:rPr>
                <w:lang w:val="cs-CZ"/>
              </w:rPr>
              <w:t xml:space="preserve"> </w:t>
            </w:r>
          </w:p>
          <w:p w:rsidR="00BC7D58" w:rsidRPr="00BA5B27" w:rsidRDefault="0027256D" w:rsidP="0027256D">
            <w:pPr>
              <w:spacing w:line="240" w:lineRule="atLeast"/>
              <w:rPr>
                <w:lang w:val="cs-CZ"/>
              </w:rPr>
            </w:pPr>
            <w:r w:rsidRPr="00BA5B2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B4" w:rsidRDefault="008430B4" w:rsidP="00956F35">
      <w:pPr>
        <w:spacing w:line="240" w:lineRule="auto"/>
      </w:pPr>
      <w:r>
        <w:separator/>
      </w:r>
    </w:p>
  </w:endnote>
  <w:endnote w:type="continuationSeparator" w:id="0">
    <w:p w:rsidR="008430B4" w:rsidRDefault="008430B4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0C1C654" wp14:editId="14E2651A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D4F17" wp14:editId="4CE00B7B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B4" w:rsidRDefault="008430B4" w:rsidP="00956F35">
      <w:pPr>
        <w:spacing w:line="240" w:lineRule="auto"/>
      </w:pPr>
      <w:r>
        <w:separator/>
      </w:r>
    </w:p>
  </w:footnote>
  <w:footnote w:type="continuationSeparator" w:id="0">
    <w:p w:rsidR="008430B4" w:rsidRDefault="008430B4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6F23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30B4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2194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0E66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BF180B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8BCB-F30E-47F1-AD4C-85310AC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2018-02-06T12:10:00Z</dcterms:created>
  <dcterms:modified xsi:type="dcterms:W3CDTF">2018-03-28T07:43:00Z</dcterms:modified>
</cp:coreProperties>
</file>