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A2285B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r w:rsidRPr="003F1820">
              <w:rPr>
                <w:rFonts w:eastAsia="Arial" w:cs="Times New Roman"/>
                <w:noProof/>
                <w:sz w:val="14"/>
                <w:szCs w:val="14"/>
                <w:lang w:val="cs-CZ" w:eastAsia="cs-CZ"/>
              </w:rPr>
              <w:drawing>
                <wp:inline distT="0" distB="0" distL="0" distR="0" wp14:anchorId="377CE541" wp14:editId="4D73BCC3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ří Hlaváč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9B1867" w:rsidP="009D0CB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proofErr w:type="spellStart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Jiří</w:t>
            </w:r>
            <w:proofErr w:type="spellEnd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 xml:space="preserve"> </w:t>
            </w:r>
            <w:proofErr w:type="spellStart"/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Hlaváč</w:t>
            </w:r>
            <w:proofErr w:type="spellEnd"/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BB686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D404AE" w:rsidRDefault="00E50AB6" w:rsidP="009D0CB3">
      <w:pPr>
        <w:pStyle w:val="Kategorie"/>
        <w:spacing w:before="0"/>
        <w:rPr>
          <w:sz w:val="18"/>
          <w:szCs w:val="18"/>
          <w:lang w:val="cs-CZ"/>
        </w:rPr>
      </w:pPr>
      <w:r w:rsidRPr="00D404AE">
        <w:rPr>
          <w:sz w:val="18"/>
          <w:szCs w:val="18"/>
          <w:lang w:val="cs-CZ"/>
        </w:rPr>
        <w:lastRenderedPageBreak/>
        <w:t>Profil</w:t>
      </w:r>
      <w:r w:rsidR="00D059C2">
        <w:rPr>
          <w:sz w:val="18"/>
          <w:szCs w:val="18"/>
          <w:lang w:val="cs-CZ"/>
        </w:rPr>
        <w:t>e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 xml:space="preserve">Partner at TPA Czech </w:t>
      </w:r>
      <w:proofErr w:type="spellStart"/>
      <w:r w:rsidRPr="00D404AE">
        <w:rPr>
          <w:sz w:val="18"/>
          <w:szCs w:val="18"/>
        </w:rPr>
        <w:t>Republic</w:t>
      </w:r>
      <w:proofErr w:type="spellEnd"/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 xml:space="preserve">Managing </w:t>
      </w:r>
      <w:proofErr w:type="spellStart"/>
      <w:r w:rsidRPr="00D404AE">
        <w:rPr>
          <w:sz w:val="18"/>
          <w:szCs w:val="18"/>
        </w:rPr>
        <w:t>partner</w:t>
      </w:r>
      <w:proofErr w:type="spellEnd"/>
      <w:r w:rsidRPr="00D404AE">
        <w:rPr>
          <w:sz w:val="18"/>
          <w:szCs w:val="18"/>
        </w:rPr>
        <w:t xml:space="preserve"> in </w:t>
      </w:r>
      <w:proofErr w:type="spellStart"/>
      <w:r w:rsidRPr="00D404AE">
        <w:rPr>
          <w:sz w:val="18"/>
          <w:szCs w:val="18"/>
        </w:rPr>
        <w:t>the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Valuation</w:t>
      </w:r>
      <w:proofErr w:type="spellEnd"/>
      <w:r w:rsidRPr="00D404AE">
        <w:rPr>
          <w:sz w:val="18"/>
          <w:szCs w:val="18"/>
        </w:rPr>
        <w:t xml:space="preserve"> Department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proofErr w:type="spellStart"/>
      <w:r w:rsidRPr="00D404AE">
        <w:rPr>
          <w:sz w:val="18"/>
          <w:szCs w:val="18"/>
        </w:rPr>
        <w:t>Forensic</w:t>
      </w:r>
      <w:proofErr w:type="spellEnd"/>
      <w:r w:rsidRPr="00D404AE">
        <w:rPr>
          <w:sz w:val="18"/>
          <w:szCs w:val="18"/>
        </w:rPr>
        <w:t xml:space="preserve"> expert in </w:t>
      </w:r>
      <w:proofErr w:type="spellStart"/>
      <w:r w:rsidRPr="00D404AE">
        <w:rPr>
          <w:sz w:val="18"/>
          <w:szCs w:val="18"/>
        </w:rPr>
        <w:t>the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field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of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economi</w:t>
      </w:r>
      <w:bookmarkStart w:id="0" w:name="_GoBack"/>
      <w:bookmarkEnd w:id="0"/>
      <w:r w:rsidRPr="00D404AE">
        <w:rPr>
          <w:sz w:val="18"/>
          <w:szCs w:val="18"/>
        </w:rPr>
        <w:t>cs</w:t>
      </w:r>
      <w:proofErr w:type="spellEnd"/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r w:rsidRPr="00D404AE">
        <w:rPr>
          <w:sz w:val="18"/>
          <w:szCs w:val="18"/>
        </w:rPr>
        <w:t xml:space="preserve">Auditor, </w:t>
      </w:r>
      <w:proofErr w:type="spellStart"/>
      <w:r w:rsidRPr="00D404AE">
        <w:rPr>
          <w:sz w:val="18"/>
          <w:szCs w:val="18"/>
        </w:rPr>
        <w:t>Tax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Advisor</w:t>
      </w:r>
      <w:proofErr w:type="spellEnd"/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</w:rPr>
      </w:pPr>
      <w:proofErr w:type="spellStart"/>
      <w:r w:rsidRPr="00D404AE">
        <w:rPr>
          <w:sz w:val="18"/>
          <w:szCs w:val="18"/>
        </w:rPr>
        <w:t>Lecturer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and</w:t>
      </w:r>
      <w:proofErr w:type="spellEnd"/>
      <w:r w:rsidRPr="00D404AE">
        <w:rPr>
          <w:sz w:val="18"/>
          <w:szCs w:val="18"/>
        </w:rPr>
        <w:t xml:space="preserve"> Trainer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Professional Career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 xml:space="preserve">Since 2002: Partner at TPA Czech Republic 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Since 1997: Employee of TPA Czech Republic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Lecturer in several training agencies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 xml:space="preserve">20 </w:t>
      </w:r>
      <w:proofErr w:type="spellStart"/>
      <w:r w:rsidRPr="00D404AE">
        <w:rPr>
          <w:sz w:val="18"/>
          <w:szCs w:val="18"/>
        </w:rPr>
        <w:t>years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of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experience</w:t>
      </w:r>
      <w:proofErr w:type="spellEnd"/>
      <w:r w:rsidRPr="00D404AE">
        <w:rPr>
          <w:sz w:val="18"/>
          <w:szCs w:val="18"/>
        </w:rPr>
        <w:t xml:space="preserve"> in </w:t>
      </w:r>
      <w:proofErr w:type="spellStart"/>
      <w:r w:rsidRPr="00D404AE">
        <w:rPr>
          <w:sz w:val="18"/>
          <w:szCs w:val="18"/>
        </w:rPr>
        <w:t>the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field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of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valuation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structure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merger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projects</w:t>
      </w:r>
      <w:proofErr w:type="spellEnd"/>
      <w:r w:rsidRPr="00D404AE">
        <w:rPr>
          <w:sz w:val="18"/>
          <w:szCs w:val="18"/>
        </w:rPr>
        <w:t xml:space="preserve">, </w:t>
      </w:r>
      <w:proofErr w:type="spellStart"/>
      <w:r w:rsidRPr="00D404AE">
        <w:rPr>
          <w:sz w:val="18"/>
          <w:szCs w:val="18"/>
        </w:rPr>
        <w:t>strategic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consulting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and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restructuring</w:t>
      </w:r>
      <w:proofErr w:type="spellEnd"/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Education and Training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 xml:space="preserve">Graduate </w:t>
      </w:r>
      <w:proofErr w:type="spellStart"/>
      <w:r w:rsidRPr="00D404AE">
        <w:rPr>
          <w:sz w:val="18"/>
          <w:szCs w:val="18"/>
        </w:rPr>
        <w:t>of</w:t>
      </w:r>
      <w:proofErr w:type="spellEnd"/>
      <w:r w:rsidRPr="00D404AE">
        <w:rPr>
          <w:sz w:val="18"/>
          <w:szCs w:val="18"/>
        </w:rPr>
        <w:t xml:space="preserve"> </w:t>
      </w:r>
      <w:r w:rsidRPr="00D404AE">
        <w:rPr>
          <w:sz w:val="18"/>
          <w:szCs w:val="18"/>
          <w:lang w:val="en-US"/>
        </w:rPr>
        <w:t>the University of Economics in Prague (PhD.)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</w:rPr>
        <w:t xml:space="preserve">3x </w:t>
      </w:r>
      <w:proofErr w:type="spellStart"/>
      <w:r w:rsidRPr="00D404AE">
        <w:rPr>
          <w:sz w:val="18"/>
          <w:szCs w:val="18"/>
        </w:rPr>
        <w:t>awarded</w:t>
      </w:r>
      <w:proofErr w:type="spellEnd"/>
      <w:r w:rsidRPr="00D404AE">
        <w:rPr>
          <w:sz w:val="18"/>
          <w:szCs w:val="18"/>
        </w:rPr>
        <w:t xml:space="preserve"> „</w:t>
      </w:r>
      <w:proofErr w:type="spellStart"/>
      <w:r w:rsidRPr="00D404AE">
        <w:rPr>
          <w:sz w:val="18"/>
          <w:szCs w:val="18"/>
        </w:rPr>
        <w:t>Tax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star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for</w:t>
      </w:r>
      <w:proofErr w:type="spellEnd"/>
      <w:r w:rsidRPr="00D404AE">
        <w:rPr>
          <w:sz w:val="18"/>
          <w:szCs w:val="18"/>
        </w:rPr>
        <w:t xml:space="preserve"> Mergers </w:t>
      </w:r>
      <w:proofErr w:type="spellStart"/>
      <w:r w:rsidRPr="00D404AE">
        <w:rPr>
          <w:sz w:val="18"/>
          <w:szCs w:val="18"/>
        </w:rPr>
        <w:t>and</w:t>
      </w:r>
      <w:proofErr w:type="spellEnd"/>
      <w:r w:rsidRPr="00D404AE">
        <w:rPr>
          <w:sz w:val="18"/>
          <w:szCs w:val="18"/>
        </w:rPr>
        <w:t xml:space="preserve"> </w:t>
      </w:r>
      <w:proofErr w:type="spellStart"/>
      <w:r w:rsidRPr="00D404AE">
        <w:rPr>
          <w:sz w:val="18"/>
          <w:szCs w:val="18"/>
        </w:rPr>
        <w:t>Acquisitions</w:t>
      </w:r>
      <w:proofErr w:type="spellEnd"/>
      <w:r w:rsidRPr="00D404AE">
        <w:rPr>
          <w:sz w:val="18"/>
          <w:szCs w:val="18"/>
        </w:rPr>
        <w:t>“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en-US"/>
        </w:rPr>
      </w:pPr>
      <w:r w:rsidRPr="00D404AE">
        <w:rPr>
          <w:sz w:val="18"/>
          <w:szCs w:val="18"/>
          <w:lang w:val="en-US"/>
        </w:rPr>
        <w:t>Project Manager (IIR Certificate)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D059C2">
        <w:rPr>
          <w:rFonts w:asciiTheme="minorHAnsi" w:hAnsiTheme="minorHAnsi" w:cstheme="minorHAnsi"/>
          <w:sz w:val="18"/>
          <w:szCs w:val="18"/>
          <w:lang w:val="en-GB"/>
        </w:rPr>
        <w:t>Professional Networks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proofErr w:type="spellStart"/>
      <w:r w:rsidRPr="00D404AE">
        <w:rPr>
          <w:sz w:val="18"/>
          <w:szCs w:val="18"/>
          <w:lang w:val="cs-CZ"/>
        </w:rPr>
        <w:t>Member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Chamber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Tax </w:t>
      </w:r>
      <w:proofErr w:type="spellStart"/>
      <w:r w:rsidRPr="00D404AE">
        <w:rPr>
          <w:sz w:val="18"/>
          <w:szCs w:val="18"/>
          <w:lang w:val="cs-CZ"/>
        </w:rPr>
        <w:t>Consultants</w:t>
      </w:r>
      <w:proofErr w:type="spellEnd"/>
      <w:r w:rsidRPr="00D404AE">
        <w:rPr>
          <w:sz w:val="18"/>
          <w:szCs w:val="18"/>
          <w:lang w:val="cs-CZ"/>
        </w:rPr>
        <w:t xml:space="preserve"> Czech Republic</w:t>
      </w:r>
    </w:p>
    <w:p w:rsidR="00D404AE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proofErr w:type="spellStart"/>
      <w:r w:rsidRPr="00D404AE">
        <w:rPr>
          <w:sz w:val="18"/>
          <w:szCs w:val="18"/>
          <w:lang w:val="cs-CZ"/>
        </w:rPr>
        <w:t>Member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Chamber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Tax </w:t>
      </w:r>
      <w:proofErr w:type="spellStart"/>
      <w:r w:rsidRPr="00D404AE">
        <w:rPr>
          <w:sz w:val="18"/>
          <w:szCs w:val="18"/>
          <w:lang w:val="cs-CZ"/>
        </w:rPr>
        <w:t>Advisers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Czech Republic and </w:t>
      </w:r>
      <w:proofErr w:type="spellStart"/>
      <w:r w:rsidRPr="00D404AE">
        <w:rPr>
          <w:sz w:val="18"/>
          <w:szCs w:val="18"/>
          <w:lang w:val="cs-CZ"/>
        </w:rPr>
        <w:t>corporate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income</w:t>
      </w:r>
      <w:proofErr w:type="spellEnd"/>
      <w:r w:rsidRPr="00D404AE">
        <w:rPr>
          <w:sz w:val="18"/>
          <w:szCs w:val="18"/>
          <w:lang w:val="cs-CZ"/>
        </w:rPr>
        <w:t xml:space="preserve"> tax </w:t>
      </w:r>
      <w:proofErr w:type="spellStart"/>
      <w:r w:rsidRPr="00D404AE">
        <w:rPr>
          <w:sz w:val="18"/>
          <w:szCs w:val="18"/>
          <w:lang w:val="cs-CZ"/>
        </w:rPr>
        <w:t>section</w:t>
      </w:r>
      <w:proofErr w:type="spellEnd"/>
    </w:p>
    <w:p w:rsidR="00D404AE" w:rsidRPr="00D404AE" w:rsidRDefault="00D404AE" w:rsidP="00D404AE">
      <w:pPr>
        <w:pStyle w:val="Seznamsodrkami"/>
        <w:ind w:left="284" w:right="-345" w:hanging="284"/>
        <w:rPr>
          <w:sz w:val="18"/>
          <w:szCs w:val="18"/>
          <w:lang w:val="cs-CZ"/>
        </w:rPr>
      </w:pPr>
      <w:proofErr w:type="spellStart"/>
      <w:r w:rsidRPr="00D404AE">
        <w:rPr>
          <w:sz w:val="18"/>
          <w:szCs w:val="18"/>
          <w:lang w:val="cs-CZ"/>
        </w:rPr>
        <w:t>Member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Advisory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Forum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Ministry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Justice</w:t>
      </w:r>
    </w:p>
    <w:p w:rsidR="00E50AB6" w:rsidRPr="00D404AE" w:rsidRDefault="00D404AE" w:rsidP="00D404AE">
      <w:pPr>
        <w:pStyle w:val="Seznamsodrkami"/>
        <w:ind w:left="284" w:hanging="284"/>
        <w:rPr>
          <w:sz w:val="18"/>
          <w:szCs w:val="18"/>
          <w:lang w:val="cs-CZ"/>
        </w:rPr>
      </w:pPr>
      <w:proofErr w:type="spellStart"/>
      <w:r w:rsidRPr="00D404AE">
        <w:rPr>
          <w:sz w:val="18"/>
          <w:szCs w:val="18"/>
          <w:lang w:val="cs-CZ"/>
        </w:rPr>
        <w:t>Member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the</w:t>
      </w:r>
      <w:proofErr w:type="spellEnd"/>
      <w:r w:rsidRPr="00D404AE">
        <w:rPr>
          <w:sz w:val="18"/>
          <w:szCs w:val="18"/>
          <w:lang w:val="cs-CZ"/>
        </w:rPr>
        <w:t xml:space="preserve"> Finance and </w:t>
      </w:r>
      <w:proofErr w:type="spellStart"/>
      <w:r w:rsidRPr="00D404AE">
        <w:rPr>
          <w:sz w:val="18"/>
          <w:szCs w:val="18"/>
          <w:lang w:val="cs-CZ"/>
        </w:rPr>
        <w:t>Valuation</w:t>
      </w:r>
      <w:proofErr w:type="spellEnd"/>
      <w:r w:rsidRPr="00D404AE">
        <w:rPr>
          <w:sz w:val="18"/>
          <w:szCs w:val="18"/>
          <w:lang w:val="cs-CZ"/>
        </w:rPr>
        <w:t xml:space="preserve"> Department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University </w:t>
      </w:r>
      <w:proofErr w:type="spellStart"/>
      <w:r w:rsidRPr="00D404AE">
        <w:rPr>
          <w:sz w:val="18"/>
          <w:szCs w:val="18"/>
          <w:lang w:val="cs-CZ"/>
        </w:rPr>
        <w:t>of</w:t>
      </w:r>
      <w:proofErr w:type="spellEnd"/>
      <w:r w:rsidRPr="00D404AE">
        <w:rPr>
          <w:sz w:val="18"/>
          <w:szCs w:val="18"/>
          <w:lang w:val="cs-CZ"/>
        </w:rPr>
        <w:t xml:space="preserve"> </w:t>
      </w:r>
      <w:proofErr w:type="spellStart"/>
      <w:r w:rsidRPr="00D404AE">
        <w:rPr>
          <w:sz w:val="18"/>
          <w:szCs w:val="18"/>
          <w:lang w:val="cs-CZ"/>
        </w:rPr>
        <w:t>Economics</w:t>
      </w:r>
      <w:proofErr w:type="spellEnd"/>
      <w:r w:rsidRPr="00D404AE">
        <w:rPr>
          <w:sz w:val="18"/>
          <w:szCs w:val="18"/>
          <w:lang w:val="cs-CZ"/>
        </w:rPr>
        <w:t xml:space="preserve"> in Prague</w:t>
      </w:r>
    </w:p>
    <w:p w:rsidR="00E50AB6" w:rsidRPr="00D059C2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</w:rPr>
      </w:pPr>
      <w:r w:rsidRPr="00D059C2">
        <w:rPr>
          <w:rFonts w:asciiTheme="minorHAnsi" w:hAnsiTheme="minorHAnsi" w:cstheme="minorHAnsi"/>
          <w:sz w:val="18"/>
          <w:szCs w:val="16"/>
          <w:lang w:val="en-GB"/>
        </w:rPr>
        <w:t>Language Skills</w:t>
      </w:r>
    </w:p>
    <w:p w:rsidR="00D059C2" w:rsidRDefault="00D059C2" w:rsidP="00D059C2">
      <w:pPr>
        <w:pStyle w:val="Seznamsodrkami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Czech</w:t>
      </w:r>
    </w:p>
    <w:p w:rsidR="00D404AE" w:rsidRDefault="00D059C2" w:rsidP="00D404AE">
      <w:pPr>
        <w:pStyle w:val="Seznamsodrkami"/>
        <w:rPr>
          <w:sz w:val="18"/>
          <w:szCs w:val="18"/>
          <w:lang w:val="cs-CZ"/>
        </w:rPr>
      </w:pPr>
      <w:proofErr w:type="spellStart"/>
      <w:r w:rsidRPr="00D404AE">
        <w:rPr>
          <w:sz w:val="18"/>
          <w:szCs w:val="18"/>
          <w:lang w:val="cs-CZ"/>
        </w:rPr>
        <w:t>Englisch</w:t>
      </w:r>
      <w:proofErr w:type="spellEnd"/>
    </w:p>
    <w:p w:rsidR="00BC7D58" w:rsidRPr="00D059C2" w:rsidRDefault="00D404AE" w:rsidP="00720F38">
      <w:pPr>
        <w:pStyle w:val="Kategorie"/>
        <w:spacing w:before="0"/>
        <w:ind w:left="567" w:hanging="141"/>
        <w:rPr>
          <w:sz w:val="18"/>
          <w:szCs w:val="16"/>
        </w:rPr>
      </w:pPr>
      <w:r w:rsidRPr="00D059C2">
        <w:rPr>
          <w:sz w:val="20"/>
          <w:szCs w:val="18"/>
          <w:lang w:val="cs-CZ"/>
        </w:rPr>
        <w:br w:type="column"/>
      </w:r>
      <w:r w:rsidR="00D059C2" w:rsidRPr="00D059C2">
        <w:rPr>
          <w:sz w:val="18"/>
          <w:szCs w:val="16"/>
        </w:rPr>
        <w:lastRenderedPageBreak/>
        <w:t>Client Focus / Services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D059C2">
        <w:rPr>
          <w:rStyle w:val="BulletpointZchn"/>
          <w:sz w:val="18"/>
          <w:szCs w:val="16"/>
          <w:lang w:val="en-GB"/>
        </w:rPr>
        <w:t>Business Consulting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Commercial Due Diligence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Valuation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Corporate Finance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Transaction Support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Financial Restructuring</w:t>
      </w:r>
    </w:p>
    <w:p w:rsidR="00D059C2" w:rsidRPr="00720F38" w:rsidRDefault="00D059C2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720F38">
        <w:rPr>
          <w:rStyle w:val="BulletpointZchn"/>
          <w:sz w:val="18"/>
          <w:szCs w:val="16"/>
          <w:lang w:val="en-GB"/>
        </w:rPr>
        <w:t>Post-acquisition consultancy</w:t>
      </w:r>
    </w:p>
    <w:p w:rsidR="00BC7D58" w:rsidRPr="00D059C2" w:rsidRDefault="00D059C2" w:rsidP="00720F38">
      <w:pPr>
        <w:pStyle w:val="Kategorie"/>
        <w:ind w:left="709" w:hanging="284"/>
        <w:rPr>
          <w:sz w:val="18"/>
          <w:szCs w:val="16"/>
        </w:rPr>
      </w:pPr>
      <w:r w:rsidRPr="00D059C2">
        <w:rPr>
          <w:sz w:val="18"/>
          <w:szCs w:val="16"/>
        </w:rPr>
        <w:t xml:space="preserve">Areas </w:t>
      </w:r>
      <w:proofErr w:type="spellStart"/>
      <w:r w:rsidRPr="00D059C2">
        <w:rPr>
          <w:sz w:val="18"/>
          <w:szCs w:val="16"/>
        </w:rPr>
        <w:t>of</w:t>
      </w:r>
      <w:proofErr w:type="spellEnd"/>
      <w:r w:rsidRPr="00D059C2">
        <w:rPr>
          <w:sz w:val="18"/>
          <w:szCs w:val="16"/>
        </w:rPr>
        <w:t xml:space="preserve"> Expertise</w:t>
      </w:r>
    </w:p>
    <w:p w:rsidR="00720F38" w:rsidRDefault="00D059C2" w:rsidP="00720F38">
      <w:pPr>
        <w:pStyle w:val="Seznamsodrkami"/>
        <w:ind w:left="709" w:hanging="283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Lawyers</w:t>
      </w:r>
      <w:proofErr w:type="spellEnd"/>
      <w:r w:rsidR="00720F38">
        <w:rPr>
          <w:sz w:val="18"/>
          <w:szCs w:val="18"/>
          <w:lang w:val="cs-CZ"/>
        </w:rPr>
        <w:t>´</w:t>
      </w:r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lang w:val="cs-CZ"/>
        </w:rPr>
      </w:pPr>
      <w:r w:rsidRPr="00720F38">
        <w:rPr>
          <w:rStyle w:val="BulletpointZchn"/>
          <w:sz w:val="18"/>
          <w:szCs w:val="16"/>
        </w:rPr>
        <w:t xml:space="preserve">Banking, Insurance </w:t>
      </w:r>
      <w:r w:rsidRPr="00720F38">
        <w:rPr>
          <w:rStyle w:val="BulletpointZchn"/>
          <w:rFonts w:cs="Arial"/>
          <w:sz w:val="18"/>
          <w:szCs w:val="16"/>
        </w:rPr>
        <w:t>&amp;</w:t>
      </w:r>
      <w:r w:rsidRPr="00720F38">
        <w:rPr>
          <w:rStyle w:val="BulletpointZchn"/>
          <w:sz w:val="18"/>
          <w:szCs w:val="16"/>
        </w:rPr>
        <w:t xml:space="preserve"> Financial Service Provider</w:t>
      </w:r>
    </w:p>
    <w:p w:rsidR="00720F38" w:rsidRDefault="00D059C2" w:rsidP="00720F38">
      <w:pPr>
        <w:pStyle w:val="Seznamsodrkami"/>
        <w:ind w:left="709" w:hanging="283"/>
        <w:rPr>
          <w:sz w:val="18"/>
          <w:szCs w:val="18"/>
          <w:lang w:val="cs-CZ"/>
        </w:rPr>
      </w:pPr>
      <w:proofErr w:type="spellStart"/>
      <w:r w:rsidRPr="00720F38">
        <w:rPr>
          <w:sz w:val="18"/>
          <w:szCs w:val="18"/>
          <w:lang w:val="cs-CZ"/>
        </w:rPr>
        <w:t>Energy</w:t>
      </w:r>
      <w:proofErr w:type="spellEnd"/>
      <w:r w:rsidRPr="00720F38">
        <w:rPr>
          <w:sz w:val="18"/>
          <w:szCs w:val="18"/>
          <w:lang w:val="cs-CZ"/>
        </w:rPr>
        <w:tab/>
      </w:r>
    </w:p>
    <w:p w:rsidR="00720F38" w:rsidRDefault="00D059C2" w:rsidP="00720F38">
      <w:pPr>
        <w:pStyle w:val="Seznamsodrkami"/>
        <w:ind w:left="709" w:hanging="283"/>
        <w:rPr>
          <w:sz w:val="18"/>
          <w:szCs w:val="18"/>
          <w:lang w:val="cs-CZ"/>
        </w:rPr>
      </w:pPr>
      <w:proofErr w:type="spellStart"/>
      <w:r w:rsidRPr="00720F38">
        <w:rPr>
          <w:sz w:val="18"/>
          <w:szCs w:val="18"/>
          <w:lang w:val="cs-CZ"/>
        </w:rPr>
        <w:t>Holdings</w:t>
      </w:r>
      <w:proofErr w:type="spellEnd"/>
    </w:p>
    <w:p w:rsidR="00720F38" w:rsidRDefault="00D059C2" w:rsidP="00720F38">
      <w:pPr>
        <w:pStyle w:val="Seznamsodrkami"/>
        <w:ind w:left="709" w:hanging="283"/>
        <w:rPr>
          <w:sz w:val="18"/>
          <w:szCs w:val="18"/>
          <w:lang w:val="cs-CZ"/>
        </w:rPr>
      </w:pPr>
      <w:r w:rsidRPr="00720F38">
        <w:rPr>
          <w:sz w:val="18"/>
          <w:szCs w:val="18"/>
          <w:lang w:val="cs-CZ"/>
        </w:rPr>
        <w:t xml:space="preserve">Real </w:t>
      </w:r>
      <w:proofErr w:type="spellStart"/>
      <w:r w:rsidRPr="00720F38">
        <w:rPr>
          <w:sz w:val="18"/>
          <w:szCs w:val="18"/>
          <w:lang w:val="cs-CZ"/>
        </w:rPr>
        <w:t>Estate</w:t>
      </w:r>
      <w:proofErr w:type="spellEnd"/>
    </w:p>
    <w:p w:rsidR="00720F38" w:rsidRDefault="00D059C2" w:rsidP="00720F38">
      <w:pPr>
        <w:pStyle w:val="Seznamsodrkami"/>
        <w:ind w:left="709" w:hanging="283"/>
        <w:rPr>
          <w:rStyle w:val="BulletpointZchn"/>
          <w:sz w:val="18"/>
          <w:lang w:val="cs-CZ"/>
        </w:rPr>
      </w:pPr>
      <w:r w:rsidRPr="00720F38">
        <w:rPr>
          <w:rStyle w:val="BulletpointZchn"/>
          <w:sz w:val="18"/>
          <w:szCs w:val="16"/>
        </w:rPr>
        <w:t>Private Equity Funds</w:t>
      </w:r>
    </w:p>
    <w:p w:rsidR="009D0CB3" w:rsidRPr="00720F38" w:rsidRDefault="00720F38" w:rsidP="00720F38">
      <w:pPr>
        <w:pStyle w:val="Seznamsodrkami"/>
        <w:ind w:left="709" w:hanging="283"/>
        <w:rPr>
          <w:sz w:val="18"/>
          <w:szCs w:val="18"/>
          <w:lang w:val="cs-CZ"/>
        </w:rPr>
      </w:pPr>
      <w:proofErr w:type="spellStart"/>
      <w:r w:rsidRPr="00720F38">
        <w:rPr>
          <w:sz w:val="18"/>
          <w:szCs w:val="18"/>
          <w:lang w:val="cs-CZ"/>
        </w:rPr>
        <w:t>Manufacturing</w:t>
      </w:r>
      <w:proofErr w:type="spellEnd"/>
      <w:r w:rsidRPr="00720F38">
        <w:rPr>
          <w:sz w:val="18"/>
          <w:szCs w:val="18"/>
          <w:lang w:val="cs-CZ"/>
        </w:rPr>
        <w:t xml:space="preserve"> </w:t>
      </w:r>
      <w:proofErr w:type="spellStart"/>
      <w:r w:rsidRPr="00720F38">
        <w:rPr>
          <w:sz w:val="18"/>
          <w:szCs w:val="18"/>
          <w:lang w:val="cs-CZ"/>
        </w:rPr>
        <w:t>industry</w:t>
      </w:r>
      <w:proofErr w:type="spellEnd"/>
    </w:p>
    <w:p w:rsidR="00720F38" w:rsidRDefault="00720F38" w:rsidP="00720F38">
      <w:pPr>
        <w:pStyle w:val="Seznamsodrkami"/>
        <w:numPr>
          <w:ilvl w:val="0"/>
          <w:numId w:val="0"/>
        </w:numPr>
        <w:ind w:left="360" w:hanging="360"/>
        <w:rPr>
          <w:sz w:val="18"/>
          <w:szCs w:val="18"/>
          <w:lang w:val="cs-CZ"/>
        </w:rPr>
      </w:pPr>
    </w:p>
    <w:p w:rsidR="00817AD3" w:rsidRDefault="00720F38" w:rsidP="00720F38">
      <w:pPr>
        <w:pStyle w:val="Kategorie"/>
        <w:ind w:left="426"/>
      </w:pPr>
      <w:proofErr w:type="spellStart"/>
      <w:r>
        <w:t>Contact</w:t>
      </w:r>
      <w:proofErr w:type="spellEnd"/>
    </w:p>
    <w:p w:rsidR="00720F38" w:rsidRDefault="00720F38" w:rsidP="00720F38">
      <w:pPr>
        <w:pStyle w:val="Kategorie"/>
        <w:ind w:left="426"/>
      </w:pPr>
      <w:proofErr w:type="spellStart"/>
      <w:r>
        <w:t>Jiří</w:t>
      </w:r>
      <w:proofErr w:type="spellEnd"/>
      <w:r>
        <w:t xml:space="preserve"> </w:t>
      </w:r>
      <w:proofErr w:type="spellStart"/>
      <w:r>
        <w:t>Hlaváč</w:t>
      </w:r>
      <w:proofErr w:type="spellEnd"/>
    </w:p>
    <w:p w:rsidR="00720F38" w:rsidRDefault="00720F38" w:rsidP="00720F38">
      <w:pPr>
        <w:pStyle w:val="Kategorie"/>
        <w:spacing w:before="0" w:line="240" w:lineRule="auto"/>
        <w:ind w:left="425"/>
      </w:pP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>
        <w:rPr>
          <w:b w:val="0"/>
        </w:rPr>
        <w:t>j</w:t>
      </w:r>
      <w:r w:rsidRPr="00720F38">
        <w:rPr>
          <w:b w:val="0"/>
        </w:rPr>
        <w:t>iri.hlavac@tpa-group.cz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lang w:val="en-GB"/>
        </w:rPr>
      </w:pPr>
      <w:r w:rsidRPr="00720F38">
        <w:rPr>
          <w:b w:val="0"/>
        </w:rPr>
        <w:t>Phone:</w:t>
      </w:r>
      <w:r w:rsidRPr="00720F38">
        <w:rPr>
          <w:b w:val="0"/>
          <w:sz w:val="18"/>
          <w:lang w:val="en-GB"/>
        </w:rPr>
        <w:t xml:space="preserve"> </w:t>
      </w:r>
      <w:r w:rsidRPr="00720F38">
        <w:rPr>
          <w:b w:val="0"/>
          <w:sz w:val="18"/>
          <w:lang w:val="en-GB"/>
        </w:rPr>
        <w:t>+420 222 826</w:t>
      </w:r>
      <w:r w:rsidRPr="00720F38">
        <w:rPr>
          <w:b w:val="0"/>
          <w:sz w:val="18"/>
          <w:lang w:val="en-GB"/>
        </w:rPr>
        <w:t> </w:t>
      </w:r>
      <w:r w:rsidRPr="00720F38">
        <w:rPr>
          <w:b w:val="0"/>
          <w:sz w:val="18"/>
          <w:lang w:val="en-GB"/>
        </w:rPr>
        <w:t>333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lang w:val="en-GB"/>
        </w:rPr>
      </w:pPr>
      <w:proofErr w:type="spellStart"/>
      <w:r w:rsidRPr="00720F38">
        <w:rPr>
          <w:b w:val="0"/>
        </w:rPr>
        <w:t>Cellphone</w:t>
      </w:r>
      <w:proofErr w:type="spellEnd"/>
      <w:r w:rsidRPr="00720F38">
        <w:rPr>
          <w:b w:val="0"/>
        </w:rPr>
        <w:t xml:space="preserve">: </w:t>
      </w:r>
      <w:r w:rsidRPr="00720F38">
        <w:rPr>
          <w:b w:val="0"/>
          <w:sz w:val="18"/>
          <w:lang w:val="en-GB"/>
        </w:rPr>
        <w:t>+420 602 380</w:t>
      </w:r>
      <w:r w:rsidRPr="00720F38">
        <w:rPr>
          <w:b w:val="0"/>
          <w:sz w:val="18"/>
          <w:lang w:val="en-GB"/>
        </w:rPr>
        <w:t> </w:t>
      </w:r>
      <w:r w:rsidRPr="00720F38">
        <w:rPr>
          <w:b w:val="0"/>
          <w:sz w:val="18"/>
          <w:lang w:val="en-GB"/>
        </w:rPr>
        <w:t>690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 w:rsidRPr="00720F38">
        <w:rPr>
          <w:b w:val="0"/>
        </w:rPr>
        <w:t xml:space="preserve">TPA Czech </w:t>
      </w:r>
      <w:proofErr w:type="spellStart"/>
      <w:r w:rsidRPr="00720F38">
        <w:rPr>
          <w:b w:val="0"/>
        </w:rPr>
        <w:t>Republic</w:t>
      </w:r>
      <w:proofErr w:type="spellEnd"/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proofErr w:type="spellStart"/>
      <w:r w:rsidRPr="00720F38">
        <w:rPr>
          <w:b w:val="0"/>
        </w:rPr>
        <w:t>Antala</w:t>
      </w:r>
      <w:proofErr w:type="spellEnd"/>
      <w:r w:rsidRPr="00720F38">
        <w:rPr>
          <w:b w:val="0"/>
        </w:rPr>
        <w:t xml:space="preserve"> </w:t>
      </w:r>
      <w:proofErr w:type="spellStart"/>
      <w:r w:rsidRPr="00720F38">
        <w:rPr>
          <w:b w:val="0"/>
        </w:rPr>
        <w:t>Staška</w:t>
      </w:r>
      <w:proofErr w:type="spellEnd"/>
      <w:r w:rsidRPr="00720F38">
        <w:rPr>
          <w:b w:val="0"/>
        </w:rPr>
        <w:t xml:space="preserve"> 2027/79, </w:t>
      </w:r>
      <w:proofErr w:type="spellStart"/>
      <w:r w:rsidRPr="00720F38">
        <w:rPr>
          <w:b w:val="0"/>
        </w:rPr>
        <w:t>Prague</w:t>
      </w:r>
      <w:proofErr w:type="spellEnd"/>
      <w:r w:rsidRPr="00720F38">
        <w:rPr>
          <w:b w:val="0"/>
        </w:rPr>
        <w:t xml:space="preserve"> 4, 140 00</w:t>
      </w:r>
    </w:p>
    <w:p w:rsidR="00720F38" w:rsidRPr="00720F38" w:rsidRDefault="00720F38" w:rsidP="00720F38">
      <w:pPr>
        <w:pStyle w:val="Kategorie"/>
        <w:spacing w:before="0" w:line="240" w:lineRule="auto"/>
        <w:ind w:left="425"/>
        <w:rPr>
          <w:b w:val="0"/>
        </w:rPr>
      </w:pPr>
      <w:r w:rsidRPr="00720F38">
        <w:rPr>
          <w:b w:val="0"/>
        </w:rPr>
        <w:t xml:space="preserve">Phone: </w:t>
      </w:r>
      <w:r w:rsidRPr="00720F38">
        <w:rPr>
          <w:b w:val="0"/>
          <w:sz w:val="18"/>
          <w:szCs w:val="18"/>
          <w:lang w:val="en-GB"/>
        </w:rPr>
        <w:t>+420 222 826 311</w:t>
      </w:r>
    </w:p>
    <w:sectPr w:rsidR="00720F38" w:rsidRPr="00720F38" w:rsidSect="00595248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B" w:rsidRDefault="0083237B" w:rsidP="00956F35">
      <w:pPr>
        <w:spacing w:line="240" w:lineRule="auto"/>
      </w:pPr>
      <w:r>
        <w:separator/>
      </w:r>
    </w:p>
  </w:endnote>
  <w:endnote w:type="continuationSeparator" w:id="0">
    <w:p w:rsidR="0083237B" w:rsidRDefault="0083237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9F627D8" wp14:editId="3363506D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113FF7" wp14:editId="24CF9C75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9B1867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BB686C" w:rsidRDefault="00BB686C" w:rsidP="00BB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B" w:rsidRDefault="0083237B" w:rsidP="00956F35">
      <w:pPr>
        <w:spacing w:line="240" w:lineRule="auto"/>
      </w:pPr>
      <w:r>
        <w:separator/>
      </w:r>
    </w:p>
  </w:footnote>
  <w:footnote w:type="continuationSeparator" w:id="0">
    <w:p w:rsidR="0083237B" w:rsidRDefault="0083237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636456C" wp14:editId="3B11EE77">
          <wp:extent cx="896400" cy="752400"/>
          <wp:effectExtent l="0" t="0" r="0" b="0"/>
          <wp:docPr id="6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0" w:rsidRPr="00986A70" w:rsidRDefault="00986A70" w:rsidP="00986A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  <w:lvlOverride w:ilvl="0">
      <w:lvl w:ilvl="0">
        <w:start w:val="1"/>
        <w:numFmt w:val="bullet"/>
        <w:pStyle w:val="Seznamsodrkami"/>
        <w:lvlText w:val=""/>
        <w:lvlJc w:val="left"/>
        <w:pPr>
          <w:ind w:left="360" w:hanging="360"/>
        </w:pPr>
        <w:rPr>
          <w:rFonts w:ascii="Webdings" w:hAnsi="Webdings" w:hint="default"/>
          <w:color w:val="57AB27" w:themeColor="accent1"/>
        </w:rPr>
      </w:lvl>
    </w:lvlOverride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4C51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0F38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561F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059C2"/>
    <w:rsid w:val="00D10FCD"/>
    <w:rsid w:val="00D122D4"/>
    <w:rsid w:val="00D27D5A"/>
    <w:rsid w:val="00D404AE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E1DA-3701-446E-9340-541576F2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6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4</cp:revision>
  <cp:lastPrinted>2018-04-03T08:38:00Z</cp:lastPrinted>
  <dcterms:created xsi:type="dcterms:W3CDTF">2018-04-05T07:53:00Z</dcterms:created>
  <dcterms:modified xsi:type="dcterms:W3CDTF">2018-04-05T08:49:00Z</dcterms:modified>
</cp:coreProperties>
</file>