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A2285B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 w:rsidRPr="003F1820">
              <w:rPr>
                <w:rFonts w:eastAsia="Arial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 wp14:anchorId="377CE541" wp14:editId="4D73BCC3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ří Hlavác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9B1867" w:rsidP="0094762C">
            <w:pPr>
              <w:keepNext/>
              <w:keepLines/>
              <w:spacing w:before="12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proofErr w:type="spellStart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Jiří</w:t>
            </w:r>
            <w:proofErr w:type="spellEnd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 xml:space="preserve"> </w:t>
            </w:r>
            <w:proofErr w:type="spellStart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Hlaváč</w:t>
            </w:r>
            <w:proofErr w:type="spellEnd"/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94762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5850E4" w:rsidRDefault="00E50AB6" w:rsidP="005850E4">
      <w:pPr>
        <w:pStyle w:val="Kategorie"/>
        <w:spacing w:before="0"/>
        <w:ind w:right="-40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Profil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Partner v TPA Česká republika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Vedoucí partner v oddělení oceňování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Auditor a daňový poradce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Soudní znalec v oboru ekono</w:t>
      </w:r>
      <w:r w:rsidR="00A6640B" w:rsidRPr="005850E4">
        <w:rPr>
          <w:sz w:val="18"/>
          <w:szCs w:val="18"/>
          <w:lang w:val="cs-CZ"/>
        </w:rPr>
        <w:t>mika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Publikační a lektorská činnost</w:t>
      </w:r>
    </w:p>
    <w:p w:rsidR="00E50AB6" w:rsidRPr="005850E4" w:rsidRDefault="009B1867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kariéra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Od roku 2002 Partner v TPA Česká republika</w:t>
      </w:r>
      <w:r w:rsidR="00E50AB6" w:rsidRPr="005850E4">
        <w:rPr>
          <w:sz w:val="18"/>
          <w:szCs w:val="18"/>
          <w:lang w:val="cs-CZ"/>
        </w:rPr>
        <w:t xml:space="preserve"> 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Od roku 1997 zaměstnanec v TPA Česká republika</w:t>
      </w:r>
    </w:p>
    <w:p w:rsidR="00AD4680" w:rsidRPr="005850E4" w:rsidRDefault="00AD4680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Lektor v několika vzdělávacích agenturách</w:t>
      </w:r>
    </w:p>
    <w:p w:rsidR="00E50AB6" w:rsidRPr="005850E4" w:rsidRDefault="007F66B8" w:rsidP="003F1820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20</w:t>
      </w:r>
      <w:r w:rsidR="0082715C" w:rsidRPr="005850E4">
        <w:rPr>
          <w:sz w:val="18"/>
          <w:szCs w:val="18"/>
          <w:lang w:val="cs-CZ"/>
        </w:rPr>
        <w:t xml:space="preserve"> let praxe v oboru zaměření na oceňování strukturování transakcí, projekty fúzí, strategické poradenství a restrukturalizace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Vzdělávání a certifikáty</w:t>
      </w:r>
    </w:p>
    <w:p w:rsidR="0082715C" w:rsidRPr="005850E4" w:rsidRDefault="0082715C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Absolvent doktorského studia VŠE Praha</w:t>
      </w:r>
    </w:p>
    <w:p w:rsidR="003F1820" w:rsidRPr="005850E4" w:rsidRDefault="003F1820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3x oceněn titulem „Daňová hvězda pro Fúze a akvizice“</w:t>
      </w:r>
    </w:p>
    <w:p w:rsidR="003F1820" w:rsidRPr="005850E4" w:rsidRDefault="003F1820" w:rsidP="005850E4">
      <w:pPr>
        <w:pStyle w:val="Seznamsodrkami"/>
        <w:ind w:right="-684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 xml:space="preserve">Project </w:t>
      </w:r>
      <w:proofErr w:type="spellStart"/>
      <w:r w:rsidRPr="005850E4">
        <w:rPr>
          <w:sz w:val="18"/>
          <w:szCs w:val="18"/>
          <w:lang w:val="cs-CZ"/>
        </w:rPr>
        <w:t>manager</w:t>
      </w:r>
      <w:proofErr w:type="spellEnd"/>
      <w:r w:rsidRPr="005850E4">
        <w:rPr>
          <w:sz w:val="18"/>
          <w:szCs w:val="18"/>
          <w:lang w:val="cs-CZ"/>
        </w:rPr>
        <w:t xml:space="preserve"> (certifikát IIR)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sítě</w:t>
      </w:r>
    </w:p>
    <w:p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Komory auditorů České republiky</w:t>
      </w:r>
    </w:p>
    <w:p w:rsidR="0082715C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Komory daňových poradců ČR a sekce daně z příjmů právnických osob</w:t>
      </w:r>
    </w:p>
    <w:p w:rsidR="0082715C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 xml:space="preserve">Člen Poradního sboru ministra spravedlnosti </w:t>
      </w:r>
    </w:p>
    <w:p w:rsidR="003F1820" w:rsidRPr="005850E4" w:rsidRDefault="007F66B8" w:rsidP="002F1C6F">
      <w:pPr>
        <w:pStyle w:val="Seznamsodrkami"/>
        <w:ind w:left="357" w:hanging="357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</w:t>
      </w:r>
      <w:r w:rsidR="003F1820" w:rsidRPr="005850E4">
        <w:rPr>
          <w:sz w:val="18"/>
          <w:szCs w:val="18"/>
          <w:lang w:val="cs-CZ"/>
        </w:rPr>
        <w:t>atedry financí a oceňování podniku VŠE Praha</w:t>
      </w:r>
    </w:p>
    <w:p w:rsidR="00E50AB6" w:rsidRPr="005850E4" w:rsidRDefault="0082715C" w:rsidP="007F66B8">
      <w:pPr>
        <w:pStyle w:val="Kategorie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Jazyková vybavenost</w:t>
      </w:r>
    </w:p>
    <w:p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Anglický jazyk</w:t>
      </w:r>
    </w:p>
    <w:p w:rsidR="009D0CB3" w:rsidRPr="005850E4" w:rsidRDefault="009D0CB3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Český jazyk</w:t>
      </w:r>
    </w:p>
    <w:p w:rsidR="00BC7D58" w:rsidRPr="005850E4" w:rsidRDefault="009D0CB3" w:rsidP="005850E4">
      <w:pPr>
        <w:pStyle w:val="Seznamsodrkami"/>
        <w:numPr>
          <w:ilvl w:val="0"/>
          <w:numId w:val="0"/>
        </w:numPr>
        <w:ind w:firstLine="426"/>
        <w:rPr>
          <w:b/>
          <w:sz w:val="18"/>
          <w:szCs w:val="18"/>
          <w:lang w:val="cs-CZ"/>
        </w:rPr>
      </w:pPr>
      <w:bookmarkStart w:id="0" w:name="_GoBack"/>
      <w:bookmarkEnd w:id="0"/>
      <w:r w:rsidRPr="005850E4">
        <w:rPr>
          <w:b/>
          <w:sz w:val="18"/>
          <w:szCs w:val="18"/>
          <w:lang w:val="cs-CZ"/>
        </w:rPr>
        <w:br w:type="column"/>
      </w:r>
      <w:r w:rsidR="0082715C" w:rsidRPr="005850E4">
        <w:rPr>
          <w:b/>
          <w:sz w:val="18"/>
          <w:szCs w:val="18"/>
          <w:lang w:val="cs-CZ"/>
        </w:rPr>
        <w:t>Klientské zaměření/služby</w:t>
      </w:r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r w:rsidRPr="005850E4">
        <w:rPr>
          <w:rStyle w:val="BulletpointZchn"/>
          <w:sz w:val="18"/>
          <w:lang w:val="cs-CZ"/>
        </w:rPr>
        <w:t xml:space="preserve">Business </w:t>
      </w:r>
      <w:proofErr w:type="spellStart"/>
      <w:r w:rsidRPr="005850E4">
        <w:rPr>
          <w:rStyle w:val="BulletpointZchn"/>
          <w:sz w:val="18"/>
          <w:lang w:val="cs-CZ"/>
        </w:rPr>
        <w:t>Consulting</w:t>
      </w:r>
      <w:proofErr w:type="spellEnd"/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r w:rsidRPr="005850E4">
        <w:rPr>
          <w:rStyle w:val="BulletpointZchn"/>
          <w:sz w:val="18"/>
          <w:lang w:val="cs-CZ"/>
        </w:rPr>
        <w:t xml:space="preserve">Obchodní </w:t>
      </w:r>
      <w:proofErr w:type="spellStart"/>
      <w:r w:rsidRPr="005850E4">
        <w:rPr>
          <w:rStyle w:val="BulletpointZchn"/>
          <w:sz w:val="18"/>
          <w:lang w:val="cs-CZ"/>
        </w:rPr>
        <w:t>due</w:t>
      </w:r>
      <w:proofErr w:type="spellEnd"/>
      <w:r w:rsidRPr="005850E4">
        <w:rPr>
          <w:rStyle w:val="BulletpointZchn"/>
          <w:sz w:val="18"/>
          <w:lang w:val="cs-CZ"/>
        </w:rPr>
        <w:t xml:space="preserve"> diligence</w:t>
      </w:r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r w:rsidRPr="005850E4">
        <w:rPr>
          <w:rStyle w:val="BulletpointZchn"/>
          <w:sz w:val="18"/>
          <w:lang w:val="cs-CZ"/>
        </w:rPr>
        <w:t>Oceňování</w:t>
      </w:r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r w:rsidRPr="005850E4">
        <w:rPr>
          <w:rStyle w:val="BulletpointZchn"/>
          <w:sz w:val="18"/>
          <w:lang w:val="cs-CZ"/>
        </w:rPr>
        <w:t>Podnikové finance</w:t>
      </w:r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r w:rsidRPr="005850E4">
        <w:rPr>
          <w:rStyle w:val="BulletpointZchn"/>
          <w:sz w:val="18"/>
          <w:lang w:val="cs-CZ"/>
        </w:rPr>
        <w:t>Poradenství při transakcích</w:t>
      </w:r>
    </w:p>
    <w:p w:rsid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proofErr w:type="spellStart"/>
      <w:r w:rsidRPr="005850E4">
        <w:rPr>
          <w:rStyle w:val="BulletpointZchn"/>
          <w:sz w:val="18"/>
          <w:lang w:val="cs-CZ"/>
        </w:rPr>
        <w:t>Restrukturalizace</w:t>
      </w:r>
      <w:proofErr w:type="spellEnd"/>
    </w:p>
    <w:p w:rsidR="00F45936" w:rsidRPr="005850E4" w:rsidRDefault="0082715C" w:rsidP="005850E4">
      <w:pPr>
        <w:pStyle w:val="Seznamsodrkami"/>
        <w:ind w:left="851" w:hanging="425"/>
        <w:rPr>
          <w:rStyle w:val="BulletpointZchn"/>
          <w:sz w:val="18"/>
          <w:lang w:val="cs-CZ"/>
        </w:rPr>
      </w:pPr>
      <w:proofErr w:type="spellStart"/>
      <w:r w:rsidRPr="005850E4">
        <w:rPr>
          <w:rStyle w:val="BulletpointZchn"/>
          <w:sz w:val="18"/>
          <w:lang w:val="cs-CZ"/>
        </w:rPr>
        <w:t>Postakviziční</w:t>
      </w:r>
      <w:proofErr w:type="spellEnd"/>
      <w:r w:rsidRPr="005850E4">
        <w:rPr>
          <w:rStyle w:val="BulletpointZchn"/>
          <w:sz w:val="18"/>
          <w:lang w:val="cs-CZ"/>
        </w:rPr>
        <w:t xml:space="preserve"> poradenství</w:t>
      </w:r>
    </w:p>
    <w:p w:rsidR="00BC7D58" w:rsidRPr="005850E4" w:rsidRDefault="0082715C" w:rsidP="005850E4">
      <w:pPr>
        <w:pStyle w:val="Kategorie"/>
        <w:spacing w:before="120"/>
        <w:ind w:left="851" w:hanging="425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Odvětví</w:t>
      </w:r>
    </w:p>
    <w:p w:rsidR="005850E4" w:rsidRDefault="0082715C" w:rsidP="005850E4">
      <w:pPr>
        <w:pStyle w:val="Seznamsodrkami"/>
        <w:ind w:left="85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Advokátní kanceláře</w:t>
      </w:r>
    </w:p>
    <w:p w:rsidR="005850E4" w:rsidRDefault="0082715C" w:rsidP="005850E4">
      <w:pPr>
        <w:pStyle w:val="Seznamsodrkami"/>
        <w:ind w:left="85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Bankovnictví, pojišťovnictví a finanční služby</w:t>
      </w:r>
    </w:p>
    <w:p w:rsidR="005850E4" w:rsidRDefault="009436BD" w:rsidP="005850E4">
      <w:pPr>
        <w:pStyle w:val="Seznamsodrkami"/>
        <w:ind w:left="85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Energetika, teplárenství a vodárenství</w:t>
      </w:r>
    </w:p>
    <w:p w:rsidR="005850E4" w:rsidRDefault="009436BD" w:rsidP="005850E4">
      <w:pPr>
        <w:pStyle w:val="Seznamsodrkami"/>
        <w:ind w:left="85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Holdingové společnosti</w:t>
      </w:r>
    </w:p>
    <w:p w:rsidR="005850E4" w:rsidRDefault="009436BD" w:rsidP="005850E4">
      <w:pPr>
        <w:pStyle w:val="Seznamsodrkami"/>
        <w:ind w:left="851"/>
        <w:rPr>
          <w:sz w:val="18"/>
          <w:szCs w:val="18"/>
          <w:lang w:val="cs-CZ"/>
        </w:rPr>
      </w:pPr>
      <w:proofErr w:type="spellStart"/>
      <w:r w:rsidRPr="005850E4">
        <w:rPr>
          <w:sz w:val="18"/>
          <w:szCs w:val="18"/>
          <w:lang w:val="cs-CZ"/>
        </w:rPr>
        <w:t>Nemovitosti</w:t>
      </w:r>
      <w:proofErr w:type="spellEnd"/>
    </w:p>
    <w:p w:rsidR="005850E4" w:rsidRDefault="009436BD" w:rsidP="005850E4">
      <w:pPr>
        <w:pStyle w:val="Seznamsodrkami"/>
        <w:ind w:left="851"/>
        <w:rPr>
          <w:sz w:val="18"/>
          <w:szCs w:val="18"/>
          <w:lang w:val="cs-CZ"/>
        </w:rPr>
      </w:pPr>
      <w:proofErr w:type="spellStart"/>
      <w:r w:rsidRPr="005850E4">
        <w:rPr>
          <w:sz w:val="18"/>
          <w:szCs w:val="18"/>
          <w:lang w:val="cs-CZ"/>
        </w:rPr>
        <w:t>Private</w:t>
      </w:r>
      <w:proofErr w:type="spellEnd"/>
      <w:r w:rsidRPr="005850E4">
        <w:rPr>
          <w:sz w:val="18"/>
          <w:szCs w:val="18"/>
          <w:lang w:val="cs-CZ"/>
        </w:rPr>
        <w:t xml:space="preserve"> </w:t>
      </w:r>
      <w:proofErr w:type="spellStart"/>
      <w:r w:rsidRPr="005850E4">
        <w:rPr>
          <w:sz w:val="18"/>
          <w:szCs w:val="18"/>
          <w:lang w:val="cs-CZ"/>
        </w:rPr>
        <w:t>equity</w:t>
      </w:r>
      <w:proofErr w:type="spellEnd"/>
      <w:r w:rsidRPr="005850E4">
        <w:rPr>
          <w:sz w:val="18"/>
          <w:szCs w:val="18"/>
          <w:lang w:val="cs-CZ"/>
        </w:rPr>
        <w:t xml:space="preserve"> fondy</w:t>
      </w:r>
    </w:p>
    <w:p w:rsidR="0094762C" w:rsidRPr="005850E4" w:rsidRDefault="009436BD" w:rsidP="005850E4">
      <w:pPr>
        <w:pStyle w:val="Seznamsodrkami"/>
        <w:ind w:left="85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Strojí</w:t>
      </w:r>
      <w:r w:rsidR="00986A70" w:rsidRPr="005850E4">
        <w:rPr>
          <w:sz w:val="18"/>
          <w:szCs w:val="18"/>
          <w:lang w:val="cs-CZ"/>
        </w:rPr>
        <w:t>renství a zpracovatelský průmys</w:t>
      </w:r>
      <w:r w:rsidR="005850E4" w:rsidRPr="005850E4">
        <w:rPr>
          <w:sz w:val="18"/>
          <w:szCs w:val="18"/>
          <w:lang w:val="cs-CZ"/>
        </w:rPr>
        <w:t>l</w:t>
      </w:r>
    </w:p>
    <w:p w:rsidR="005850E4" w:rsidRDefault="005850E4" w:rsidP="005850E4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5850E4" w:rsidRDefault="005850E4" w:rsidP="0080562C">
      <w:pPr>
        <w:pStyle w:val="Seznamsodrkami"/>
        <w:numPr>
          <w:ilvl w:val="0"/>
          <w:numId w:val="0"/>
        </w:numPr>
        <w:rPr>
          <w:sz w:val="18"/>
          <w:szCs w:val="18"/>
          <w:lang w:val="cs-CZ"/>
        </w:rPr>
      </w:pPr>
    </w:p>
    <w:p w:rsidR="005850E4" w:rsidRPr="0080562C" w:rsidRDefault="005850E4" w:rsidP="0080562C">
      <w:pPr>
        <w:pStyle w:val="Seznamsodrkami"/>
        <w:numPr>
          <w:ilvl w:val="0"/>
          <w:numId w:val="0"/>
        </w:numPr>
        <w:ind w:left="425"/>
        <w:rPr>
          <w:b/>
          <w:sz w:val="18"/>
          <w:szCs w:val="18"/>
          <w:lang w:val="cs-CZ"/>
        </w:rPr>
      </w:pPr>
      <w:r w:rsidRPr="0080562C">
        <w:rPr>
          <w:b/>
          <w:sz w:val="18"/>
          <w:szCs w:val="18"/>
          <w:lang w:val="cs-CZ"/>
        </w:rPr>
        <w:t>Kontakt</w:t>
      </w:r>
    </w:p>
    <w:p w:rsidR="0080562C" w:rsidRDefault="0080562C" w:rsidP="0080562C">
      <w:pPr>
        <w:pStyle w:val="Seznamsodrkami"/>
        <w:numPr>
          <w:ilvl w:val="0"/>
          <w:numId w:val="0"/>
        </w:numPr>
        <w:ind w:left="425"/>
        <w:rPr>
          <w:sz w:val="18"/>
          <w:szCs w:val="18"/>
          <w:lang w:val="cs-CZ"/>
        </w:rPr>
      </w:pPr>
    </w:p>
    <w:p w:rsidR="005850E4" w:rsidRPr="0080562C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b/>
          <w:sz w:val="18"/>
          <w:szCs w:val="18"/>
          <w:lang w:val="cs-CZ"/>
        </w:rPr>
      </w:pPr>
      <w:r w:rsidRPr="0080562C">
        <w:rPr>
          <w:b/>
          <w:sz w:val="18"/>
          <w:szCs w:val="18"/>
          <w:lang w:val="cs-CZ"/>
        </w:rPr>
        <w:t>Jiří Hlaváč</w:t>
      </w:r>
    </w:p>
    <w:p w:rsidR="005850E4" w:rsidRPr="00D404AE" w:rsidRDefault="005850E4" w:rsidP="005850E4">
      <w:pPr>
        <w:spacing w:line="240" w:lineRule="atLeast"/>
        <w:ind w:left="426"/>
        <w:rPr>
          <w:sz w:val="18"/>
          <w:szCs w:val="18"/>
          <w:lang w:val="en-GB"/>
        </w:rPr>
      </w:pPr>
      <w:r w:rsidRPr="00D404AE">
        <w:rPr>
          <w:sz w:val="18"/>
          <w:szCs w:val="18"/>
          <w:lang w:val="en-GB"/>
        </w:rPr>
        <w:t>jiri.hlavac@tpa-group.cz</w:t>
      </w:r>
    </w:p>
    <w:p w:rsidR="005850E4" w:rsidRPr="00D404AE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 w:val="18"/>
          <w:lang w:val="en-GB"/>
        </w:rPr>
      </w:pPr>
      <w:proofErr w:type="spellStart"/>
      <w:r>
        <w:rPr>
          <w:sz w:val="18"/>
          <w:lang w:val="en-GB"/>
        </w:rPr>
        <w:t>Telefon</w:t>
      </w:r>
      <w:proofErr w:type="spellEnd"/>
      <w:r w:rsidR="005850E4" w:rsidRPr="00D404AE">
        <w:rPr>
          <w:sz w:val="18"/>
          <w:lang w:val="en-GB"/>
        </w:rPr>
        <w:t>: +420 222 826 333</w:t>
      </w:r>
    </w:p>
    <w:p w:rsidR="005850E4" w:rsidRPr="00D404AE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 w:val="18"/>
        </w:rPr>
      </w:pPr>
      <w:r>
        <w:rPr>
          <w:sz w:val="18"/>
          <w:lang w:val="en-GB"/>
        </w:rPr>
        <w:t>Mobil</w:t>
      </w:r>
      <w:r w:rsidR="005850E4" w:rsidRPr="00D404AE">
        <w:rPr>
          <w:sz w:val="18"/>
          <w:lang w:val="en-GB"/>
        </w:rPr>
        <w:t>: +420 602 380</w:t>
      </w:r>
      <w:r>
        <w:rPr>
          <w:sz w:val="18"/>
          <w:lang w:val="en-GB"/>
        </w:rPr>
        <w:t> </w:t>
      </w:r>
      <w:r w:rsidR="005850E4" w:rsidRPr="00D404AE">
        <w:rPr>
          <w:sz w:val="18"/>
          <w:lang w:val="en-GB"/>
        </w:rPr>
        <w:t>690</w:t>
      </w:r>
    </w:p>
    <w:p w:rsidR="005850E4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sz w:val="18"/>
          <w:szCs w:val="18"/>
          <w:lang w:val="cs-CZ"/>
        </w:rPr>
      </w:pPr>
    </w:p>
    <w:p w:rsidR="0080562C" w:rsidRDefault="0080562C" w:rsidP="005850E4">
      <w:pPr>
        <w:pStyle w:val="Seznamsodrkami"/>
        <w:numPr>
          <w:ilvl w:val="0"/>
          <w:numId w:val="0"/>
        </w:numPr>
        <w:ind w:left="360" w:firstLine="66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TPA Česká republika</w:t>
      </w:r>
    </w:p>
    <w:p w:rsidR="0080562C" w:rsidRPr="0080562C" w:rsidRDefault="0080562C" w:rsidP="0080562C">
      <w:pPr>
        <w:spacing w:line="240" w:lineRule="atLeast"/>
        <w:ind w:left="426"/>
        <w:rPr>
          <w:sz w:val="18"/>
          <w:szCs w:val="18"/>
          <w:lang w:val="en-GB"/>
        </w:rPr>
      </w:pPr>
      <w:proofErr w:type="spellStart"/>
      <w:r w:rsidRPr="00D404AE">
        <w:rPr>
          <w:sz w:val="18"/>
          <w:szCs w:val="18"/>
          <w:lang w:val="en-GB"/>
        </w:rPr>
        <w:t>Antala</w:t>
      </w:r>
      <w:proofErr w:type="spellEnd"/>
      <w:r w:rsidRPr="00D404AE">
        <w:rPr>
          <w:sz w:val="18"/>
          <w:szCs w:val="18"/>
          <w:lang w:val="en-GB"/>
        </w:rPr>
        <w:t xml:space="preserve"> </w:t>
      </w:r>
      <w:proofErr w:type="spellStart"/>
      <w:r w:rsidRPr="00D404AE">
        <w:rPr>
          <w:sz w:val="18"/>
          <w:szCs w:val="18"/>
          <w:lang w:val="en-GB"/>
        </w:rPr>
        <w:t>Staška</w:t>
      </w:r>
      <w:proofErr w:type="spellEnd"/>
      <w:r w:rsidRPr="00D404AE">
        <w:rPr>
          <w:sz w:val="18"/>
          <w:szCs w:val="18"/>
          <w:lang w:val="en-GB"/>
        </w:rPr>
        <w:t xml:space="preserve"> 2027/79, </w:t>
      </w:r>
      <w:r>
        <w:rPr>
          <w:sz w:val="18"/>
          <w:szCs w:val="18"/>
          <w:lang w:val="en-GB"/>
        </w:rPr>
        <w:t>Praha 4</w:t>
      </w:r>
      <w:r w:rsidRPr="00D404AE">
        <w:rPr>
          <w:sz w:val="18"/>
          <w:szCs w:val="18"/>
          <w:lang w:val="en-GB"/>
        </w:rPr>
        <w:t>,140 00</w:t>
      </w:r>
    </w:p>
    <w:p w:rsidR="00FC717D" w:rsidRPr="0080562C" w:rsidRDefault="0080562C" w:rsidP="0080562C">
      <w:pPr>
        <w:pStyle w:val="Seznamsodrkami"/>
        <w:numPr>
          <w:ilvl w:val="0"/>
          <w:numId w:val="0"/>
        </w:numPr>
        <w:ind w:left="360" w:firstLine="66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en-GB"/>
        </w:rPr>
        <w:t>Telefon</w:t>
      </w:r>
      <w:proofErr w:type="spellEnd"/>
      <w:r w:rsidRPr="00D404AE">
        <w:rPr>
          <w:sz w:val="18"/>
          <w:szCs w:val="18"/>
          <w:lang w:val="en-GB"/>
        </w:rPr>
        <w:t>: +420 222 826 311</w:t>
      </w:r>
    </w:p>
    <w:sectPr w:rsidR="00FC717D" w:rsidRPr="0080562C" w:rsidSect="005850E4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6" w:space="2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B" w:rsidRDefault="0083237B" w:rsidP="00956F35">
      <w:pPr>
        <w:spacing w:line="240" w:lineRule="auto"/>
      </w:pPr>
      <w:r>
        <w:separator/>
      </w:r>
    </w:p>
  </w:endnote>
  <w:endnote w:type="continuationSeparator" w:id="0">
    <w:p w:rsidR="0083237B" w:rsidRDefault="0083237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94762C">
    <w:pPr>
      <w:pStyle w:val="Zpat"/>
      <w:spacing w:before="120" w:line="300" w:lineRule="atLeast"/>
      <w:ind w:left="28" w:right="-853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7F8123BD" wp14:editId="18450A2A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1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A3B484" wp14:editId="4250FBD4">
              <wp:simplePos x="0" y="0"/>
              <wp:positionH relativeFrom="column">
                <wp:posOffset>3331210</wp:posOffset>
              </wp:positionH>
              <wp:positionV relativeFrom="page">
                <wp:posOffset>3604260</wp:posOffset>
              </wp:positionV>
              <wp:extent cx="0" cy="5688330"/>
              <wp:effectExtent l="0" t="0" r="19050" b="2667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8833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3pt,283.8pt" to="262.3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5850E4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8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FC717D" w:rsidRDefault="00BB686C" w:rsidP="00FC717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B" w:rsidRDefault="0083237B" w:rsidP="00956F35">
      <w:pPr>
        <w:spacing w:line="240" w:lineRule="auto"/>
      </w:pPr>
      <w:r>
        <w:separator/>
      </w:r>
    </w:p>
  </w:footnote>
  <w:footnote w:type="continuationSeparator" w:id="0">
    <w:p w:rsidR="0083237B" w:rsidRDefault="0083237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5072F41" wp14:editId="4FAC94A6">
          <wp:extent cx="896400" cy="752400"/>
          <wp:effectExtent l="0" t="0" r="0" b="0"/>
          <wp:docPr id="9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2C" w:rsidRPr="005850E4" w:rsidRDefault="0094762C" w:rsidP="005850E4">
    <w:pPr>
      <w:pStyle w:val="Zhlav"/>
      <w:rPr>
        <w:vanish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revisionView w:markup="0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50E4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561F"/>
    <w:rsid w:val="0080562C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4762C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17D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8234-5CE4-4BEF-BB8F-8D0F207E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217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15</cp:revision>
  <cp:lastPrinted>2018-04-03T08:38:00Z</cp:lastPrinted>
  <dcterms:created xsi:type="dcterms:W3CDTF">2018-02-06T09:11:00Z</dcterms:created>
  <dcterms:modified xsi:type="dcterms:W3CDTF">2018-04-05T08:36:00Z</dcterms:modified>
</cp:coreProperties>
</file>