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C36376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 Soš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051B" w:rsidTr="00CE4EE1">
        <w:trPr>
          <w:trHeight w:val="218"/>
        </w:trPr>
        <w:tc>
          <w:tcPr>
            <w:tcW w:w="9638" w:type="dxa"/>
          </w:tcPr>
          <w:p w:rsidR="000D7B9E" w:rsidRPr="0045051B" w:rsidRDefault="001A4E72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Jan Soška</w:t>
            </w:r>
          </w:p>
        </w:tc>
      </w:tr>
    </w:tbl>
    <w:p w:rsidR="00BC7D58" w:rsidRPr="0045051B" w:rsidRDefault="00BC7D58" w:rsidP="00E50AB6">
      <w:pPr>
        <w:pStyle w:val="Kategorie"/>
        <w:spacing w:before="0"/>
        <w:rPr>
          <w:lang w:val="cs-CZ"/>
        </w:rPr>
        <w:sectPr w:rsidR="00BC7D58" w:rsidRPr="0045051B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5658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56587">
        <w:rPr>
          <w:szCs w:val="19"/>
          <w:lang w:val="cs-CZ"/>
        </w:rPr>
        <w:lastRenderedPageBreak/>
        <w:t>Profil</w:t>
      </w:r>
    </w:p>
    <w:p w:rsidR="00E50AB6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Partner</w:t>
      </w:r>
      <w:r w:rsidR="00CE4EE1" w:rsidRPr="00F56587">
        <w:rPr>
          <w:sz w:val="19"/>
          <w:szCs w:val="19"/>
          <w:lang w:val="cs-CZ"/>
        </w:rPr>
        <w:t xml:space="preserve"> v TPA Česká republika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Daňový poradce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Autor odborných článků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Lektorská činnost ve sféře mezinárodního zdanění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Od roku 2016</w:t>
      </w:r>
      <w:r w:rsidR="00E62168" w:rsidRPr="00F56587">
        <w:rPr>
          <w:lang w:val="cs-CZ"/>
        </w:rPr>
        <w:t>: Partner</w:t>
      </w:r>
      <w:r w:rsidR="009521E4" w:rsidRPr="00F56587">
        <w:rPr>
          <w:lang w:val="cs-CZ"/>
        </w:rPr>
        <w:t xml:space="preserve"> v TPA Česká republika</w:t>
      </w:r>
      <w:r w:rsidR="00E50AB6" w:rsidRPr="00F56587">
        <w:rPr>
          <w:sz w:val="19"/>
          <w:szCs w:val="19"/>
          <w:lang w:val="cs-CZ"/>
        </w:rPr>
        <w:t xml:space="preserve"> </w:t>
      </w:r>
    </w:p>
    <w:p w:rsidR="00E50AB6" w:rsidRPr="00D56478" w:rsidRDefault="001A4E72" w:rsidP="00D56478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Od roku 1999</w:t>
      </w:r>
      <w:r w:rsidR="006A0F44" w:rsidRPr="00F56587">
        <w:rPr>
          <w:lang w:val="cs-CZ"/>
        </w:rPr>
        <w:t>: Zaměstnanec v TPA Česká republika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 xml:space="preserve">Absolvent postgraduálního studia mezinárodního zdanění na </w:t>
      </w:r>
      <w:proofErr w:type="spellStart"/>
      <w:r w:rsidRPr="00F56587">
        <w:rPr>
          <w:lang w:val="cs-CZ"/>
        </w:rPr>
        <w:t>Wirtschaftsuniversität</w:t>
      </w:r>
      <w:proofErr w:type="spellEnd"/>
      <w:r w:rsidRPr="00F56587">
        <w:rPr>
          <w:lang w:val="cs-CZ"/>
        </w:rPr>
        <w:t xml:space="preserve"> ve Vídni (</w:t>
      </w:r>
      <w:proofErr w:type="gramStart"/>
      <w:r w:rsidRPr="00F56587">
        <w:rPr>
          <w:lang w:val="cs-CZ"/>
        </w:rPr>
        <w:t>LL.M.</w:t>
      </w:r>
      <w:proofErr w:type="gramEnd"/>
      <w:r w:rsidRPr="00F56587">
        <w:rPr>
          <w:lang w:val="cs-CZ"/>
        </w:rPr>
        <w:t>)</w:t>
      </w:r>
    </w:p>
    <w:p w:rsidR="001A4E72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Absolvent Vysoké školy ekonomické v Praze</w:t>
      </w:r>
    </w:p>
    <w:p w:rsidR="001A4E72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Certifikovaný daňový poradce od roku 1999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F56587" w:rsidRDefault="007D3F9F" w:rsidP="00E62168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Člen</w:t>
      </w:r>
      <w:r w:rsidR="0045051B" w:rsidRPr="00F56587">
        <w:rPr>
          <w:lang w:val="cs-CZ"/>
        </w:rPr>
        <w:t xml:space="preserve"> Komory daňových poradců České republiky</w:t>
      </w:r>
    </w:p>
    <w:p w:rsidR="001A4E72" w:rsidRPr="00F56587" w:rsidRDefault="001A4E72" w:rsidP="00E62168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Člen Sekce mezinárodního zdanění a cla KPD ČR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56587" w:rsidRDefault="009521E4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Český jazyk</w:t>
      </w:r>
    </w:p>
    <w:p w:rsidR="000D7B9E" w:rsidRPr="00F56587" w:rsidRDefault="009521E4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Anglický jazyk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Německý jazyk</w:t>
      </w:r>
    </w:p>
    <w:p w:rsidR="006A0F44" w:rsidRPr="00F5658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5658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56587">
        <w:rPr>
          <w:b w:val="0"/>
          <w:lang w:val="cs-CZ"/>
        </w:rPr>
        <w:br w:type="column"/>
      </w:r>
      <w:r w:rsidR="0027256D" w:rsidRPr="00F56587">
        <w:rPr>
          <w:szCs w:val="19"/>
          <w:lang w:val="cs-CZ"/>
        </w:rPr>
        <w:lastRenderedPageBreak/>
        <w:t>Klientské zaměření / služby</w:t>
      </w:r>
    </w:p>
    <w:p w:rsidR="00F45936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Daňové poradenství pro právnické osoby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Daňové poradenství pro fyzické osoby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bookmarkStart w:id="0" w:name="_GoBack"/>
      <w:r w:rsidRPr="00F56587">
        <w:rPr>
          <w:lang w:val="cs-CZ"/>
        </w:rPr>
        <w:t>Vysílání zaměstnanců, sociální a zdravotní pojištění</w:t>
      </w:r>
    </w:p>
    <w:bookmarkEnd w:id="0"/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Mezinárodní zdanění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Převodní ceny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 xml:space="preserve">Daňová </w:t>
      </w:r>
      <w:proofErr w:type="spellStart"/>
      <w:r w:rsidRPr="00F56587">
        <w:rPr>
          <w:lang w:val="cs-CZ"/>
        </w:rPr>
        <w:t>due</w:t>
      </w:r>
      <w:proofErr w:type="spellEnd"/>
      <w:r w:rsidRPr="00F56587">
        <w:rPr>
          <w:lang w:val="cs-CZ"/>
        </w:rPr>
        <w:t xml:space="preserve"> diligence, transakční poradenství</w:t>
      </w:r>
    </w:p>
    <w:p w:rsidR="00BC7D58" w:rsidRPr="00F5658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56587">
        <w:rPr>
          <w:szCs w:val="19"/>
          <w:lang w:val="cs-CZ"/>
        </w:rPr>
        <w:t>Odvětví</w:t>
      </w:r>
    </w:p>
    <w:p w:rsidR="004F767B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Strojírenství a zpracovatelský průmysl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Stavební průmysl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Nemovitosti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Holdingové společnosti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Informační technologie a media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Soukromé osoby</w:t>
      </w:r>
    </w:p>
    <w:p w:rsidR="00BC7D58" w:rsidRPr="00F5658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F5658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F5658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56587" w:rsidTr="000367CB">
        <w:tc>
          <w:tcPr>
            <w:tcW w:w="3969" w:type="dxa"/>
            <w:vAlign w:val="bottom"/>
          </w:tcPr>
          <w:p w:rsidR="00DC2B18" w:rsidRPr="00F5658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56587">
              <w:rPr>
                <w:b/>
                <w:szCs w:val="19"/>
                <w:lang w:val="cs-CZ"/>
              </w:rPr>
              <w:t>Kontakt</w:t>
            </w:r>
          </w:p>
          <w:p w:rsidR="00DC2B18" w:rsidRPr="00F5658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56587" w:rsidRDefault="001A4E7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56587">
              <w:rPr>
                <w:b/>
                <w:lang w:val="cs-CZ"/>
              </w:rPr>
              <w:t>Jan Soška</w:t>
            </w:r>
          </w:p>
          <w:p w:rsidR="004F767B" w:rsidRPr="00F56587" w:rsidRDefault="00F56587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F56587">
              <w:rPr>
                <w:sz w:val="19"/>
                <w:szCs w:val="19"/>
                <w:lang w:val="cs-CZ"/>
              </w:rPr>
              <w:t>jan.soska</w:t>
            </w:r>
            <w:r w:rsidR="0027256D" w:rsidRPr="00F5658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56587" w:rsidRDefault="003D6CF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+420 222 826 270</w:t>
            </w:r>
          </w:p>
          <w:p w:rsidR="00BC7D58" w:rsidRPr="00F56587" w:rsidRDefault="00F5658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F56587">
              <w:rPr>
                <w:lang w:val="cs-CZ"/>
              </w:rPr>
              <w:t>Mobil: +420 724 226 046</w:t>
            </w:r>
          </w:p>
          <w:p w:rsidR="00BC7D58" w:rsidRPr="00F5658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56587" w:rsidRDefault="0045051B" w:rsidP="0027256D">
            <w:pPr>
              <w:spacing w:line="240" w:lineRule="atLeast"/>
              <w:rPr>
                <w:lang w:val="cs-CZ"/>
              </w:rPr>
            </w:pPr>
            <w:r w:rsidRPr="00F56587">
              <w:rPr>
                <w:lang w:val="cs-CZ"/>
              </w:rPr>
              <w:t>TPA Česká republika</w:t>
            </w:r>
            <w:r w:rsidR="0027256D" w:rsidRPr="00F56587">
              <w:rPr>
                <w:lang w:val="cs-CZ"/>
              </w:rPr>
              <w:t xml:space="preserve"> </w:t>
            </w:r>
          </w:p>
          <w:p w:rsidR="00BC7D58" w:rsidRPr="00F56587" w:rsidRDefault="0027256D" w:rsidP="0027256D">
            <w:pPr>
              <w:spacing w:line="240" w:lineRule="atLeast"/>
              <w:rPr>
                <w:lang w:val="cs-CZ"/>
              </w:rPr>
            </w:pPr>
            <w:r w:rsidRPr="00F5658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C4" w:rsidRDefault="003978C4" w:rsidP="00956F35">
      <w:pPr>
        <w:spacing w:line="240" w:lineRule="auto"/>
      </w:pPr>
      <w:r>
        <w:separator/>
      </w:r>
    </w:p>
  </w:endnote>
  <w:endnote w:type="continuationSeparator" w:id="0">
    <w:p w:rsidR="003978C4" w:rsidRDefault="003978C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A5F9BDF" wp14:editId="00EB9B59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B356EF" wp14:editId="201AF21C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C4" w:rsidRDefault="003978C4" w:rsidP="00956F35">
      <w:pPr>
        <w:spacing w:line="240" w:lineRule="auto"/>
      </w:pPr>
      <w:r>
        <w:separator/>
      </w:r>
    </w:p>
  </w:footnote>
  <w:footnote w:type="continuationSeparator" w:id="0">
    <w:p w:rsidR="003978C4" w:rsidRDefault="003978C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0D5F861" wp14:editId="7BA66AE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978C4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D6CF4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D3F9F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36376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6478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5F8E-A59E-4FD4-8BF5-D7AB084D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2018-02-06T13:10:00Z</dcterms:created>
  <dcterms:modified xsi:type="dcterms:W3CDTF">2018-03-28T07:55:00Z</dcterms:modified>
</cp:coreProperties>
</file>