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:rsidTr="006C24C1">
        <w:trPr>
          <w:trHeight w:hRule="exact" w:val="3259"/>
        </w:trPr>
        <w:tc>
          <w:tcPr>
            <w:tcW w:w="9722" w:type="dxa"/>
          </w:tcPr>
          <w:p w:rsidR="000D7B9E" w:rsidRPr="003F1820" w:rsidRDefault="0051669C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>
              <w:rPr>
                <w:rFonts w:eastAsia="Arial" w:cs="Times New Roman"/>
                <w:noProof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6174105" cy="2069465"/>
                  <wp:effectExtent l="0" t="0" r="0" b="698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skubka Tomas-1268x425p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:rsidTr="006C24C1">
        <w:trPr>
          <w:trHeight w:val="224"/>
        </w:trPr>
        <w:tc>
          <w:tcPr>
            <w:tcW w:w="9722" w:type="dxa"/>
          </w:tcPr>
          <w:p w:rsidR="009D0CB3" w:rsidRPr="005A76FE" w:rsidRDefault="0051669C" w:rsidP="0094762C">
            <w:pPr>
              <w:keepNext/>
              <w:keepLines/>
              <w:spacing w:before="12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Tomáš Podškubka</w:t>
            </w:r>
          </w:p>
        </w:tc>
      </w:tr>
    </w:tbl>
    <w:p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94762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5850E4" w:rsidRDefault="00E50AB6" w:rsidP="005850E4">
      <w:pPr>
        <w:pStyle w:val="Kategorie"/>
        <w:spacing w:before="0"/>
        <w:ind w:right="-40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lastRenderedPageBreak/>
        <w:t>Profil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Partner v TPA Česká republika</w:t>
      </w:r>
    </w:p>
    <w:p w:rsidR="009B1867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Soudní znalec v oboru ekono</w:t>
      </w:r>
      <w:r w:rsidR="00A6640B" w:rsidRPr="005850E4">
        <w:rPr>
          <w:sz w:val="18"/>
          <w:szCs w:val="18"/>
          <w:lang w:val="cs-CZ"/>
        </w:rPr>
        <w:t>mika</w:t>
      </w:r>
    </w:p>
    <w:p w:rsidR="009961BB" w:rsidRPr="009961BB" w:rsidRDefault="00EC776E" w:rsidP="009961BB">
      <w:pPr>
        <w:pStyle w:val="Seznamsodrkami"/>
        <w:rPr>
          <w:lang w:val="cs-CZ"/>
        </w:rPr>
      </w:pPr>
      <w:r>
        <w:rPr>
          <w:lang w:val="cs-CZ"/>
        </w:rPr>
        <w:t>Č</w:t>
      </w:r>
      <w:r w:rsidR="009961BB">
        <w:rPr>
          <w:lang w:val="cs-CZ"/>
        </w:rPr>
        <w:t>len K</w:t>
      </w:r>
      <w:r w:rsidR="009961BB" w:rsidRPr="009961BB">
        <w:rPr>
          <w:lang w:val="cs-CZ"/>
        </w:rPr>
        <w:t>rálovského institutu diplomovaných znalců (MRICS)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Publikační a lektorská činnost</w:t>
      </w:r>
    </w:p>
    <w:p w:rsidR="00E50AB6" w:rsidRPr="005850E4" w:rsidRDefault="009B1867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kariéra</w:t>
      </w:r>
    </w:p>
    <w:p w:rsidR="00E50AB6" w:rsidRPr="005850E4" w:rsidRDefault="009961BB" w:rsidP="0039200B">
      <w:pPr>
        <w:pStyle w:val="Seznamsodrkami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Od roku 2021 p</w:t>
      </w:r>
      <w:r w:rsidR="009B1867" w:rsidRPr="005850E4">
        <w:rPr>
          <w:sz w:val="18"/>
          <w:szCs w:val="18"/>
          <w:lang w:val="cs-CZ"/>
        </w:rPr>
        <w:t>artner v TPA Česká republika</w:t>
      </w:r>
      <w:r w:rsidR="00E50AB6" w:rsidRPr="005850E4">
        <w:rPr>
          <w:sz w:val="18"/>
          <w:szCs w:val="18"/>
          <w:lang w:val="cs-CZ"/>
        </w:rPr>
        <w:t xml:space="preserve"> 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 xml:space="preserve">Od </w:t>
      </w:r>
      <w:r w:rsidR="009961BB">
        <w:rPr>
          <w:sz w:val="18"/>
          <w:szCs w:val="18"/>
          <w:lang w:val="cs-CZ"/>
        </w:rPr>
        <w:t xml:space="preserve">roku 2006 </w:t>
      </w:r>
      <w:r w:rsidRPr="005850E4">
        <w:rPr>
          <w:sz w:val="18"/>
          <w:szCs w:val="18"/>
          <w:lang w:val="cs-CZ"/>
        </w:rPr>
        <w:t xml:space="preserve"> zaměstnanec v TPA Česká republika</w:t>
      </w:r>
    </w:p>
    <w:p w:rsidR="009961BB" w:rsidRDefault="00AD4680" w:rsidP="009961B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Lektor v několika vzdělávacích agenturách</w:t>
      </w:r>
    </w:p>
    <w:p w:rsidR="009961BB" w:rsidRPr="009961BB" w:rsidRDefault="00FD307D" w:rsidP="009961BB">
      <w:pPr>
        <w:pStyle w:val="Seznamsodrkami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Více než </w:t>
      </w:r>
      <w:bookmarkStart w:id="0" w:name="_GoBack"/>
      <w:bookmarkEnd w:id="0"/>
      <w:r w:rsidR="009961BB" w:rsidRPr="009961BB">
        <w:rPr>
          <w:sz w:val="18"/>
          <w:szCs w:val="18"/>
          <w:lang w:val="cs-CZ"/>
        </w:rPr>
        <w:t>15 let zkušeností v oblasti oceňování, strukturací, přeměn, M&amp;A a strategického poradenství</w:t>
      </w:r>
      <w:r w:rsidR="009961BB" w:rsidRPr="009961B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</w:p>
    <w:p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Vzdělávání a certifikáty</w:t>
      </w:r>
    </w:p>
    <w:p w:rsidR="0082715C" w:rsidRPr="005850E4" w:rsidRDefault="0082715C" w:rsidP="00A664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Absolvent doktorského studia VŠE Praha</w:t>
      </w:r>
    </w:p>
    <w:p w:rsidR="003F1820" w:rsidRPr="005850E4" w:rsidRDefault="00EC776E" w:rsidP="005850E4">
      <w:pPr>
        <w:pStyle w:val="Seznamsodrkami"/>
        <w:ind w:right="-684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Soudní znalec v oboru ekonomika</w:t>
      </w:r>
    </w:p>
    <w:p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sítě</w:t>
      </w:r>
    </w:p>
    <w:p w:rsidR="00EC776E" w:rsidRPr="009961BB" w:rsidRDefault="00EC776E" w:rsidP="00EC776E">
      <w:pPr>
        <w:pStyle w:val="Seznamsodrkami"/>
        <w:rPr>
          <w:lang w:val="cs-CZ"/>
        </w:rPr>
      </w:pPr>
      <w:r>
        <w:rPr>
          <w:lang w:val="cs-CZ"/>
        </w:rPr>
        <w:t>Člen K</w:t>
      </w:r>
      <w:r w:rsidRPr="009961BB">
        <w:rPr>
          <w:lang w:val="cs-CZ"/>
        </w:rPr>
        <w:t>rálovského institutu diplomovaných znalců (MRICS)</w:t>
      </w:r>
    </w:p>
    <w:p w:rsidR="003F1820" w:rsidRPr="005850E4" w:rsidRDefault="007F66B8" w:rsidP="002F1C6F">
      <w:pPr>
        <w:pStyle w:val="Seznamsodrkami"/>
        <w:ind w:left="357" w:hanging="357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</w:t>
      </w:r>
      <w:r w:rsidR="003F1820" w:rsidRPr="005850E4">
        <w:rPr>
          <w:sz w:val="18"/>
          <w:szCs w:val="18"/>
          <w:lang w:val="cs-CZ"/>
        </w:rPr>
        <w:t>atedry financí a oceňování podniku VŠE Praha</w:t>
      </w:r>
    </w:p>
    <w:p w:rsidR="00E50AB6" w:rsidRPr="005850E4" w:rsidRDefault="0082715C" w:rsidP="007F66B8">
      <w:pPr>
        <w:pStyle w:val="Kategorie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Jazyková vybavenost</w:t>
      </w:r>
    </w:p>
    <w:p w:rsidR="00E50AB6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Anglický jazyk</w:t>
      </w:r>
    </w:p>
    <w:p w:rsidR="009D0CB3" w:rsidRPr="005850E4" w:rsidRDefault="009D0CB3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Český jazyk</w:t>
      </w:r>
    </w:p>
    <w:p w:rsidR="00BC7D58" w:rsidRPr="00D819CC" w:rsidRDefault="009D0CB3" w:rsidP="005850E4">
      <w:pPr>
        <w:pStyle w:val="Seznamsodrkami"/>
        <w:numPr>
          <w:ilvl w:val="0"/>
          <w:numId w:val="0"/>
        </w:numPr>
        <w:ind w:firstLine="426"/>
        <w:rPr>
          <w:b/>
          <w:sz w:val="19"/>
          <w:szCs w:val="19"/>
          <w:lang w:val="cs-CZ"/>
        </w:rPr>
      </w:pPr>
      <w:r w:rsidRPr="005850E4">
        <w:rPr>
          <w:b/>
          <w:sz w:val="18"/>
          <w:szCs w:val="18"/>
          <w:lang w:val="cs-CZ"/>
        </w:rPr>
        <w:br w:type="column"/>
      </w:r>
      <w:r w:rsidR="0082715C" w:rsidRPr="00D819CC">
        <w:rPr>
          <w:b/>
          <w:sz w:val="19"/>
          <w:szCs w:val="19"/>
          <w:lang w:val="cs-CZ"/>
        </w:rPr>
        <w:lastRenderedPageBreak/>
        <w:t>Klientské zaměření/služby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BUSINESS CONSULTING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OBCHODNÍ DUE DILIGENCE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OCEŇOVÁNÍ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PODNIKOVÉ FINANCE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PORADENSTVÍ PŘI TRANSAKCÍCH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RESTRUKTURALIZACE</w:t>
      </w:r>
    </w:p>
    <w:p w:rsidR="00BC7D58" w:rsidRPr="00D819CC" w:rsidRDefault="0082715C" w:rsidP="005850E4">
      <w:pPr>
        <w:pStyle w:val="Kategorie"/>
        <w:spacing w:before="120"/>
        <w:ind w:left="851" w:hanging="425"/>
        <w:rPr>
          <w:szCs w:val="19"/>
          <w:lang w:val="cs-CZ"/>
        </w:rPr>
      </w:pPr>
      <w:r w:rsidRPr="00D819CC">
        <w:rPr>
          <w:szCs w:val="19"/>
          <w:lang w:val="cs-CZ"/>
        </w:rPr>
        <w:t>Odvětví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ADVOKÁTNÍ KANCELÁŘE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BANKOVNICTVÍ</w:t>
      </w:r>
      <w:r w:rsidR="0082715C" w:rsidRPr="00D819CC">
        <w:rPr>
          <w:sz w:val="19"/>
          <w:szCs w:val="19"/>
          <w:lang w:val="cs-CZ"/>
        </w:rPr>
        <w:t xml:space="preserve">, </w:t>
      </w:r>
      <w:r w:rsidRPr="00D819CC">
        <w:rPr>
          <w:sz w:val="19"/>
          <w:szCs w:val="19"/>
          <w:lang w:val="cs-CZ"/>
        </w:rPr>
        <w:t>POJIŠŤOVNICTVÍ A FINANČNÍ SLUŽBY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ENEREEGTIKA, TEPLÁRENSTVÍ, VODÁRENSTVÍ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HOLDINGOVÉ SPOLEČNOSTI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NEMOVITOSTI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PRIVATE EQUITY</w:t>
      </w:r>
      <w:r w:rsidR="009436BD" w:rsidRPr="00D819CC">
        <w:rPr>
          <w:sz w:val="19"/>
          <w:szCs w:val="19"/>
          <w:lang w:val="cs-CZ"/>
        </w:rPr>
        <w:t xml:space="preserve"> </w:t>
      </w:r>
      <w:r w:rsidRPr="00D819CC">
        <w:rPr>
          <w:sz w:val="19"/>
          <w:szCs w:val="19"/>
          <w:lang w:val="cs-CZ"/>
        </w:rPr>
        <w:t>FONDY</w:t>
      </w:r>
    </w:p>
    <w:p w:rsidR="005850E4" w:rsidRPr="00D819CC" w:rsidRDefault="008D6CED" w:rsidP="008D6CED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STROJÍRENSTVÍ A ZPRACOVATELSKÝ PRŮMYSL</w:t>
      </w:r>
    </w:p>
    <w:p w:rsidR="005850E4" w:rsidRDefault="005850E4" w:rsidP="0080562C">
      <w:pPr>
        <w:pStyle w:val="Seznamsodrkami"/>
        <w:numPr>
          <w:ilvl w:val="0"/>
          <w:numId w:val="0"/>
        </w:numPr>
        <w:rPr>
          <w:sz w:val="18"/>
          <w:szCs w:val="18"/>
          <w:lang w:val="cs-CZ"/>
        </w:rPr>
      </w:pPr>
    </w:p>
    <w:p w:rsidR="005850E4" w:rsidRPr="00D819CC" w:rsidRDefault="005850E4" w:rsidP="0080562C">
      <w:pPr>
        <w:pStyle w:val="Seznamsodrkami"/>
        <w:numPr>
          <w:ilvl w:val="0"/>
          <w:numId w:val="0"/>
        </w:numPr>
        <w:ind w:left="425"/>
        <w:rPr>
          <w:b/>
          <w:sz w:val="19"/>
          <w:szCs w:val="19"/>
          <w:lang w:val="cs-CZ"/>
        </w:rPr>
      </w:pPr>
      <w:r w:rsidRPr="00D819CC">
        <w:rPr>
          <w:b/>
          <w:sz w:val="19"/>
          <w:szCs w:val="19"/>
          <w:lang w:val="cs-CZ"/>
        </w:rPr>
        <w:t>Kontakt</w:t>
      </w:r>
    </w:p>
    <w:p w:rsidR="0080562C" w:rsidRPr="00D819CC" w:rsidRDefault="0080562C" w:rsidP="0080562C">
      <w:pPr>
        <w:pStyle w:val="Seznamsodrkami"/>
        <w:numPr>
          <w:ilvl w:val="0"/>
          <w:numId w:val="0"/>
        </w:numPr>
        <w:ind w:left="425"/>
        <w:rPr>
          <w:sz w:val="19"/>
          <w:szCs w:val="19"/>
          <w:lang w:val="cs-CZ"/>
        </w:rPr>
      </w:pPr>
    </w:p>
    <w:p w:rsidR="005850E4" w:rsidRPr="00D819CC" w:rsidRDefault="0051669C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b/>
          <w:sz w:val="19"/>
          <w:szCs w:val="19"/>
          <w:lang w:val="cs-CZ"/>
        </w:rPr>
      </w:pPr>
      <w:r>
        <w:rPr>
          <w:b/>
          <w:sz w:val="19"/>
          <w:szCs w:val="19"/>
          <w:lang w:val="cs-CZ"/>
        </w:rPr>
        <w:t>Tomáš Podškubka</w:t>
      </w:r>
    </w:p>
    <w:p w:rsidR="005850E4" w:rsidRPr="0051669C" w:rsidRDefault="0051669C" w:rsidP="005850E4">
      <w:pPr>
        <w:spacing w:line="240" w:lineRule="atLeast"/>
        <w:ind w:left="426"/>
        <w:rPr>
          <w:sz w:val="19"/>
          <w:szCs w:val="19"/>
          <w:lang w:val="cs-CZ"/>
        </w:rPr>
      </w:pPr>
      <w:r w:rsidRPr="0051669C">
        <w:rPr>
          <w:sz w:val="19"/>
          <w:szCs w:val="19"/>
          <w:lang w:val="cs-CZ"/>
        </w:rPr>
        <w:t>tomas.podskubka</w:t>
      </w:r>
      <w:r w:rsidR="005850E4" w:rsidRPr="0051669C">
        <w:rPr>
          <w:sz w:val="19"/>
          <w:szCs w:val="19"/>
          <w:lang w:val="cs-CZ"/>
        </w:rPr>
        <w:t>@tpa-group.cz</w:t>
      </w:r>
    </w:p>
    <w:p w:rsidR="005850E4" w:rsidRPr="0051669C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  <w:lang w:val="de-DE"/>
        </w:rPr>
      </w:pPr>
      <w:r w:rsidRPr="0051669C">
        <w:rPr>
          <w:szCs w:val="19"/>
          <w:lang w:val="de-DE"/>
        </w:rPr>
        <w:t>Telefon</w:t>
      </w:r>
      <w:r w:rsidR="0051669C" w:rsidRPr="0051669C">
        <w:rPr>
          <w:szCs w:val="19"/>
          <w:lang w:val="de-DE"/>
        </w:rPr>
        <w:t>: +420 222 826 211</w:t>
      </w:r>
    </w:p>
    <w:p w:rsidR="005850E4" w:rsidRPr="00D819CC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</w:rPr>
      </w:pPr>
      <w:r w:rsidRPr="0051669C">
        <w:rPr>
          <w:szCs w:val="19"/>
          <w:lang w:val="de-DE"/>
        </w:rPr>
        <w:t>Mobil</w:t>
      </w:r>
      <w:r w:rsidR="005850E4" w:rsidRPr="0051669C">
        <w:rPr>
          <w:szCs w:val="19"/>
          <w:lang w:val="de-DE"/>
        </w:rPr>
        <w:t>: +420</w:t>
      </w:r>
      <w:r w:rsidR="0051669C">
        <w:rPr>
          <w:szCs w:val="19"/>
          <w:lang w:val="de-DE"/>
        </w:rPr>
        <w:t> 725 519 764</w:t>
      </w:r>
    </w:p>
    <w:p w:rsidR="005850E4" w:rsidRPr="00D819CC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sz w:val="19"/>
          <w:szCs w:val="19"/>
          <w:lang w:val="cs-CZ"/>
        </w:rPr>
      </w:pPr>
    </w:p>
    <w:p w:rsidR="0080562C" w:rsidRPr="00D819CC" w:rsidRDefault="0080562C" w:rsidP="005850E4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TPA Česká republika</w:t>
      </w:r>
    </w:p>
    <w:p w:rsidR="0080562C" w:rsidRPr="0051669C" w:rsidRDefault="0080562C" w:rsidP="0080562C">
      <w:pPr>
        <w:spacing w:line="240" w:lineRule="atLeast"/>
        <w:ind w:left="426"/>
        <w:rPr>
          <w:sz w:val="19"/>
          <w:szCs w:val="19"/>
          <w:lang w:val="de-DE"/>
        </w:rPr>
      </w:pPr>
      <w:r w:rsidRPr="0051669C">
        <w:rPr>
          <w:sz w:val="19"/>
          <w:szCs w:val="19"/>
          <w:lang w:val="de-DE"/>
        </w:rPr>
        <w:t>Antala Staška 2027/79, Praha 4,</w:t>
      </w:r>
      <w:r w:rsidR="00D819CC" w:rsidRPr="0051669C">
        <w:rPr>
          <w:sz w:val="19"/>
          <w:szCs w:val="19"/>
          <w:lang w:val="de-DE"/>
        </w:rPr>
        <w:t xml:space="preserve"> </w:t>
      </w:r>
      <w:r w:rsidRPr="0051669C">
        <w:rPr>
          <w:sz w:val="19"/>
          <w:szCs w:val="19"/>
          <w:lang w:val="de-DE"/>
        </w:rPr>
        <w:t>140 00</w:t>
      </w:r>
    </w:p>
    <w:p w:rsidR="00FC717D" w:rsidRPr="00D819CC" w:rsidRDefault="0080562C" w:rsidP="0080562C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51669C">
        <w:rPr>
          <w:sz w:val="19"/>
          <w:szCs w:val="19"/>
          <w:lang w:val="de-DE"/>
        </w:rPr>
        <w:t>Telefon: +420 222 </w:t>
      </w:r>
      <w:r w:rsidRPr="00D819CC">
        <w:rPr>
          <w:sz w:val="19"/>
          <w:szCs w:val="19"/>
          <w:lang w:val="en-GB"/>
        </w:rPr>
        <w:t>826 311</w:t>
      </w:r>
    </w:p>
    <w:sectPr w:rsidR="00FC717D" w:rsidRPr="00D819CC" w:rsidSect="005850E4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6" w:space="2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43" w:rsidRDefault="00751943" w:rsidP="00956F35">
      <w:pPr>
        <w:spacing w:line="240" w:lineRule="auto"/>
      </w:pPr>
      <w:r>
        <w:separator/>
      </w:r>
    </w:p>
  </w:endnote>
  <w:endnote w:type="continuationSeparator" w:id="0">
    <w:p w:rsidR="00751943" w:rsidRDefault="00751943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ED" w:rsidRPr="00FA34CE" w:rsidRDefault="008D6CED" w:rsidP="008D6CED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C71544" wp14:editId="54879E6E">
              <wp:simplePos x="0" y="0"/>
              <wp:positionH relativeFrom="column">
                <wp:posOffset>3315970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1.1pt,309.75pt" to="261.1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F6lXlbeAAAADAEAAA8AAABkcnMvZG93bnJldi54bWxMj8FOwzAMhu9IvENkJG4sXUUL&#10;lKYTQnCZhFA34Jw1pq2WOFWTbt3bY8RhHG1/+v395Wp2VhxwDL0nBctFAgKp8aanVsHH9vXmHkSI&#10;moy2nlDBCQOsqsuLUhfGH6nGwya2gkMoFFpBF+NQSBmaDp0OCz8g8e3bj05HHsdWmlEfOdxZmSZJ&#10;Lp3uiT90esDnDpv9ZnIK3tft27o+2a8Ut/jp3B3uX+pJqeur+ekRRMQ5nmH41Wd1qNhp5ycyQVgF&#10;WZqmjCrIlw8ZCCb+NjtGs9s8A1mV8n+J6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BepV5W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8D6CED" w:rsidRDefault="00BC7D58" w:rsidP="008D6C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FC717D" w:rsidRDefault="00BB686C" w:rsidP="00FC717D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43" w:rsidRDefault="00751943" w:rsidP="00956F35">
      <w:pPr>
        <w:spacing w:line="240" w:lineRule="auto"/>
      </w:pPr>
      <w:r>
        <w:separator/>
      </w:r>
    </w:p>
  </w:footnote>
  <w:footnote w:type="continuationSeparator" w:id="0">
    <w:p w:rsidR="00751943" w:rsidRDefault="00751943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5072F41" wp14:editId="4FAC94A6">
          <wp:extent cx="896400" cy="752400"/>
          <wp:effectExtent l="0" t="0" r="0" b="0"/>
          <wp:docPr id="9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2C" w:rsidRPr="005850E4" w:rsidRDefault="0094762C" w:rsidP="005850E4">
    <w:pPr>
      <w:pStyle w:val="Zhlav"/>
      <w:rPr>
        <w:vanish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FE9F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AA61F3"/>
    <w:multiLevelType w:val="hybridMultilevel"/>
    <w:tmpl w:val="0BC62100"/>
    <w:lvl w:ilvl="0" w:tplc="5660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2D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E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2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2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365EF8"/>
    <w:multiLevelType w:val="multilevel"/>
    <w:tmpl w:val="348C5B48"/>
    <w:numStyleLink w:val="berschriften1-4"/>
  </w:abstractNum>
  <w:abstractNum w:abstractNumId="9">
    <w:nsid w:val="14F82784"/>
    <w:multiLevelType w:val="multilevel"/>
    <w:tmpl w:val="348C5B48"/>
    <w:numStyleLink w:val="berschriften1-4"/>
  </w:abstractNum>
  <w:abstractNum w:abstractNumId="1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1C6573B1"/>
    <w:multiLevelType w:val="multilevel"/>
    <w:tmpl w:val="348C5B48"/>
    <w:numStyleLink w:val="berschriften1-4"/>
  </w:abstractNum>
  <w:abstractNum w:abstractNumId="12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B47757F"/>
    <w:multiLevelType w:val="multilevel"/>
    <w:tmpl w:val="348C5B48"/>
    <w:numStyleLink w:val="berschriften1-4"/>
  </w:abstractNum>
  <w:abstractNum w:abstractNumId="16">
    <w:nsid w:val="2B4C328B"/>
    <w:multiLevelType w:val="multilevel"/>
    <w:tmpl w:val="EF423766"/>
    <w:numStyleLink w:val="Bullets"/>
  </w:abstractNum>
  <w:abstractNum w:abstractNumId="17">
    <w:nsid w:val="2BC32646"/>
    <w:multiLevelType w:val="multilevel"/>
    <w:tmpl w:val="EF423766"/>
    <w:numStyleLink w:val="Bullets"/>
  </w:abstractNum>
  <w:abstractNum w:abstractNumId="18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691516"/>
    <w:multiLevelType w:val="multilevel"/>
    <w:tmpl w:val="348C5B48"/>
    <w:numStyleLink w:val="berschriften1-4"/>
  </w:abstractNum>
  <w:abstractNum w:abstractNumId="21">
    <w:nsid w:val="3BB24D21"/>
    <w:multiLevelType w:val="multilevel"/>
    <w:tmpl w:val="EF423766"/>
    <w:numStyleLink w:val="Bullets"/>
  </w:abstractNum>
  <w:abstractNum w:abstractNumId="22">
    <w:nsid w:val="4A711BCF"/>
    <w:multiLevelType w:val="multilevel"/>
    <w:tmpl w:val="EF423766"/>
    <w:numStyleLink w:val="Bullets"/>
  </w:abstractNum>
  <w:abstractNum w:abstractNumId="23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DD24A5"/>
    <w:multiLevelType w:val="multilevel"/>
    <w:tmpl w:val="348C5B48"/>
    <w:numStyleLink w:val="berschriften1-4"/>
  </w:abstractNum>
  <w:abstractNum w:abstractNumId="26">
    <w:nsid w:val="5E967AF6"/>
    <w:multiLevelType w:val="multilevel"/>
    <w:tmpl w:val="EF423766"/>
    <w:numStyleLink w:val="Bullets"/>
  </w:abstractNum>
  <w:abstractNum w:abstractNumId="27">
    <w:nsid w:val="643F1C68"/>
    <w:multiLevelType w:val="multilevel"/>
    <w:tmpl w:val="EF423766"/>
    <w:numStyleLink w:val="Bullets"/>
  </w:abstractNum>
  <w:abstractNum w:abstractNumId="28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9964394"/>
    <w:multiLevelType w:val="multilevel"/>
    <w:tmpl w:val="EF423766"/>
    <w:numStyleLink w:val="Bullets"/>
  </w:abstractNum>
  <w:abstractNum w:abstractNumId="3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29"/>
  </w:num>
  <w:num w:numId="7">
    <w:abstractNumId w:val="21"/>
  </w:num>
  <w:num w:numId="8">
    <w:abstractNumId w:val="11"/>
  </w:num>
  <w:num w:numId="9">
    <w:abstractNumId w:val="19"/>
  </w:num>
  <w:num w:numId="10">
    <w:abstractNumId w:val="30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31"/>
  </w:num>
  <w:num w:numId="20">
    <w:abstractNumId w:val="23"/>
  </w:num>
  <w:num w:numId="21">
    <w:abstractNumId w:val="27"/>
  </w:num>
  <w:num w:numId="22">
    <w:abstractNumId w:val="25"/>
  </w:num>
  <w:num w:numId="23">
    <w:abstractNumId w:val="15"/>
  </w:num>
  <w:num w:numId="24">
    <w:abstractNumId w:val="3"/>
  </w:num>
  <w:num w:numId="25">
    <w:abstractNumId w:val="20"/>
  </w:num>
  <w:num w:numId="26">
    <w:abstractNumId w:val="26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6"/>
  </w:num>
  <w:num w:numId="32">
    <w:abstractNumId w:val="26"/>
  </w:num>
  <w:num w:numId="33">
    <w:abstractNumId w:val="26"/>
  </w:num>
  <w:num w:numId="34">
    <w:abstractNumId w:val="13"/>
  </w:num>
  <w:num w:numId="35">
    <w:abstractNumId w:val="22"/>
  </w:num>
  <w:num w:numId="36">
    <w:abstractNumId w:val="24"/>
  </w:num>
  <w:num w:numId="37">
    <w:abstractNumId w:val="12"/>
  </w:num>
  <w:num w:numId="38">
    <w:abstractNumId w:val="18"/>
  </w:num>
  <w:num w:numId="39">
    <w:abstractNumId w:val="18"/>
  </w:num>
  <w:num w:numId="4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1669C"/>
    <w:rsid w:val="0053131D"/>
    <w:rsid w:val="005442EB"/>
    <w:rsid w:val="005511F5"/>
    <w:rsid w:val="00556ACE"/>
    <w:rsid w:val="005578DD"/>
    <w:rsid w:val="00560FAC"/>
    <w:rsid w:val="00580113"/>
    <w:rsid w:val="00580BFA"/>
    <w:rsid w:val="005850E4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19FD"/>
    <w:rsid w:val="006C24C1"/>
    <w:rsid w:val="006C3036"/>
    <w:rsid w:val="006D28FC"/>
    <w:rsid w:val="006D3A22"/>
    <w:rsid w:val="006D581F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51943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66B8"/>
    <w:rsid w:val="007F7A06"/>
    <w:rsid w:val="0080561F"/>
    <w:rsid w:val="0080562C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D6CED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4762C"/>
    <w:rsid w:val="00950297"/>
    <w:rsid w:val="009532B7"/>
    <w:rsid w:val="00956F35"/>
    <w:rsid w:val="009669CC"/>
    <w:rsid w:val="00972234"/>
    <w:rsid w:val="00986A70"/>
    <w:rsid w:val="009961BB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D2DD2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19CC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C776E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17D"/>
    <w:rsid w:val="00FD275E"/>
    <w:rsid w:val="00FD307D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customStyle="1" w:styleId="F2-zkladn">
    <w:name w:val="F2 - základní"/>
    <w:link w:val="F2-zkladnCharChar"/>
    <w:rsid w:val="009961BB"/>
    <w:pPr>
      <w:spacing w:before="240"/>
      <w:jc w:val="both"/>
    </w:pPr>
    <w:rPr>
      <w:rFonts w:eastAsia="Times New Roman" w:cs="Arial"/>
      <w:lang w:val="cs-CZ" w:eastAsia="cs-CZ"/>
    </w:rPr>
  </w:style>
  <w:style w:type="character" w:customStyle="1" w:styleId="F2-zkladnCharChar">
    <w:name w:val="F2 - základní Char Char"/>
    <w:basedOn w:val="Standardnpsmoodstavce"/>
    <w:link w:val="F2-zkladn"/>
    <w:rsid w:val="009961BB"/>
    <w:rPr>
      <w:rFonts w:eastAsia="Times New Roman" w:cs="Arial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customStyle="1" w:styleId="F2-zkladn">
    <w:name w:val="F2 - základní"/>
    <w:link w:val="F2-zkladnCharChar"/>
    <w:rsid w:val="009961BB"/>
    <w:pPr>
      <w:spacing w:before="240"/>
      <w:jc w:val="both"/>
    </w:pPr>
    <w:rPr>
      <w:rFonts w:eastAsia="Times New Roman" w:cs="Arial"/>
      <w:lang w:val="cs-CZ" w:eastAsia="cs-CZ"/>
    </w:rPr>
  </w:style>
  <w:style w:type="character" w:customStyle="1" w:styleId="F2-zkladnCharChar">
    <w:name w:val="F2 - základní Char Char"/>
    <w:basedOn w:val="Standardnpsmoodstavce"/>
    <w:link w:val="F2-zkladn"/>
    <w:rsid w:val="009961BB"/>
    <w:rPr>
      <w:rFonts w:eastAsia="Times New Roman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27AD-E9FB-4A8D-B89D-04A2F873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4</cp:revision>
  <cp:lastPrinted>2018-04-03T08:38:00Z</cp:lastPrinted>
  <dcterms:created xsi:type="dcterms:W3CDTF">2020-12-08T13:37:00Z</dcterms:created>
  <dcterms:modified xsi:type="dcterms:W3CDTF">2020-12-30T08:26:00Z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